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CA5B" w14:textId="77777777" w:rsidR="007D0325" w:rsidRPr="00B10CCC" w:rsidRDefault="007D0325" w:rsidP="007D0325">
      <w:pPr>
        <w:rPr>
          <w:sz w:val="24"/>
          <w:szCs w:val="24"/>
        </w:rPr>
      </w:pPr>
    </w:p>
    <w:p w14:paraId="5348FB98" w14:textId="77777777" w:rsidR="007D0325" w:rsidRPr="00B10CCC" w:rsidRDefault="007D0325" w:rsidP="007D032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B10CCC">
        <w:rPr>
          <w:rFonts w:ascii="Verdana" w:hAnsi="Verdana"/>
          <w:b/>
          <w:bCs/>
          <w:sz w:val="28"/>
          <w:szCs w:val="28"/>
        </w:rPr>
        <w:t>COMISSÃO DE ECONOMIA, FINANÇAS, FISCALIZAÇÃO E TOMADAS DE CONTAS</w:t>
      </w:r>
    </w:p>
    <w:p w14:paraId="31E8DDD9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D938953" w14:textId="0D2F8A0D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 xml:space="preserve">PROJETO DE LEI Nº </w:t>
      </w:r>
      <w:r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>82</w:t>
      </w:r>
      <w:r w:rsidRPr="00B10CCC">
        <w:rPr>
          <w:rFonts w:ascii="Verdana" w:hAnsi="Verdana"/>
          <w:b/>
          <w:bCs/>
          <w:sz w:val="24"/>
          <w:szCs w:val="24"/>
        </w:rPr>
        <w:t>/2022</w:t>
      </w:r>
    </w:p>
    <w:p w14:paraId="30081789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17BA934" w14:textId="4211E5E9" w:rsidR="007D0325" w:rsidRPr="00E366B5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>EMENTA: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5D2D7E">
        <w:rPr>
          <w:rFonts w:ascii="Verdana" w:hAnsi="Verdana"/>
          <w:sz w:val="24"/>
          <w:szCs w:val="24"/>
        </w:rPr>
        <w:t>“</w:t>
      </w:r>
      <w:r w:rsidRPr="007D0325">
        <w:rPr>
          <w:rFonts w:ascii="Verdana" w:hAnsi="Verdana"/>
          <w:sz w:val="24"/>
          <w:szCs w:val="24"/>
        </w:rPr>
        <w:t>INSTITUI A GRATIFICAÇÃO POR EXERCÍCIO DE RESPONSABILIDADE TÉCNICA PARA OS CARGOS DE PROVIMENTO EFETIVO DE ENFERMEIRO E DE MÉDICO VETERINÁRIO QUE DESENVOLVEREM AS ATIVIDADES DE RESPONSÁVEIS TÉCNICOS</w:t>
      </w:r>
      <w:r w:rsidRPr="005D2D7E">
        <w:rPr>
          <w:rFonts w:ascii="Verdana" w:hAnsi="Verdana"/>
          <w:sz w:val="24"/>
          <w:szCs w:val="24"/>
        </w:rPr>
        <w:t>.”</w:t>
      </w:r>
    </w:p>
    <w:p w14:paraId="4016FFD7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D61ADAD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 xml:space="preserve">AUTOR: </w:t>
      </w:r>
      <w:r w:rsidRPr="00B10CCC">
        <w:rPr>
          <w:rFonts w:ascii="Verdana" w:hAnsi="Verdana"/>
          <w:sz w:val="24"/>
          <w:szCs w:val="24"/>
        </w:rPr>
        <w:t>PODER EXECUTIVO</w:t>
      </w:r>
    </w:p>
    <w:p w14:paraId="3750A622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2C02297D" w14:textId="43ADEEAA" w:rsidR="007D0325" w:rsidRDefault="007D0325" w:rsidP="007D0325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 xml:space="preserve">RELATORA: </w:t>
      </w:r>
      <w:r w:rsidRPr="00B10CCC">
        <w:rPr>
          <w:rFonts w:ascii="Verdana" w:hAnsi="Verdana"/>
          <w:sz w:val="24"/>
          <w:szCs w:val="24"/>
        </w:rPr>
        <w:t>ADRIANA GUIMARÃES MACHADO – VEREADORA</w:t>
      </w:r>
    </w:p>
    <w:p w14:paraId="02A9D37E" w14:textId="77777777" w:rsidR="007D0325" w:rsidRPr="00B10CCC" w:rsidRDefault="007D0325" w:rsidP="007D0325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9FE70A8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134CB79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>I- RELATÓRIO</w:t>
      </w:r>
    </w:p>
    <w:p w14:paraId="416ED71F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60E976A" w14:textId="77777777" w:rsidR="007D0325" w:rsidRPr="007D0325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0325">
        <w:rPr>
          <w:rFonts w:ascii="Verdana" w:hAnsi="Verdana"/>
          <w:sz w:val="24"/>
          <w:szCs w:val="24"/>
        </w:rPr>
        <w:t>Trata-se de Projeto de Lei, de autoria do Poder Executivo,</w:t>
      </w:r>
      <w:r w:rsidRPr="007D0325">
        <w:rPr>
          <w:rFonts w:ascii="Verdana" w:hAnsi="Verdana"/>
          <w:sz w:val="24"/>
          <w:szCs w:val="24"/>
        </w:rPr>
        <w:t xml:space="preserve"> que tem por objetivo</w:t>
      </w:r>
      <w:r w:rsidRPr="007D0325">
        <w:rPr>
          <w:rFonts w:ascii="Verdana" w:hAnsi="Verdana"/>
          <w:sz w:val="24"/>
          <w:szCs w:val="24"/>
        </w:rPr>
        <w:t xml:space="preserve"> instituir a gratificação por exercício de responsabilidade técnica aos ocupantes dos cargos de enfermeiro e médico veterinário, conforme processo administrativo n.º 13.198/2022. </w:t>
      </w:r>
    </w:p>
    <w:p w14:paraId="5E91DBE5" w14:textId="77777777" w:rsidR="007D0325" w:rsidRDefault="007D0325" w:rsidP="007D0325">
      <w:pPr>
        <w:spacing w:after="0" w:line="360" w:lineRule="auto"/>
        <w:jc w:val="both"/>
      </w:pPr>
    </w:p>
    <w:p w14:paraId="0418AE3C" w14:textId="55B38F85" w:rsidR="007D0325" w:rsidRPr="007D0325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0325">
        <w:rPr>
          <w:rFonts w:ascii="Verdana" w:hAnsi="Verdana"/>
          <w:sz w:val="24"/>
          <w:szCs w:val="24"/>
        </w:rPr>
        <w:t xml:space="preserve">Necessário mencionar que tal iniciativa </w:t>
      </w:r>
      <w:proofErr w:type="gramStart"/>
      <w:r w:rsidRPr="007D0325">
        <w:rPr>
          <w:rFonts w:ascii="Verdana" w:hAnsi="Verdana"/>
          <w:sz w:val="24"/>
          <w:szCs w:val="24"/>
        </w:rPr>
        <w:t>encontra-se</w:t>
      </w:r>
      <w:proofErr w:type="gramEnd"/>
      <w:r w:rsidRPr="007D0325">
        <w:rPr>
          <w:rFonts w:ascii="Verdana" w:hAnsi="Verdana"/>
          <w:sz w:val="24"/>
          <w:szCs w:val="24"/>
        </w:rPr>
        <w:t xml:space="preserve"> em total consonância com as regras estabelecidas pelos Conselhos Federais de Enfermagem e de Medicina Veterinária, no tocante ao desempenho das atribuições dos profissionais quando designados para assumir responsabilidade técnica de suas unidades de trabalho perante os respectivos conselhos.</w:t>
      </w:r>
    </w:p>
    <w:p w14:paraId="591B7E91" w14:textId="0ED37199" w:rsidR="007D0325" w:rsidRDefault="007D0325" w:rsidP="007D0325">
      <w:pPr>
        <w:spacing w:after="0" w:line="360" w:lineRule="auto"/>
        <w:jc w:val="both"/>
      </w:pPr>
    </w:p>
    <w:p w14:paraId="60B9A3CA" w14:textId="20CEC1ED" w:rsidR="007D0325" w:rsidRPr="007D0325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D0325">
        <w:rPr>
          <w:rFonts w:ascii="Verdana" w:hAnsi="Verdana"/>
          <w:sz w:val="24"/>
          <w:szCs w:val="24"/>
        </w:rPr>
        <w:lastRenderedPageBreak/>
        <w:t>Insta salientar que foi apresentado Emenda Modificativa em atendimento a manifestação de fls. 09/10, oriunda da Secretária Municipal de Saúde, sendo prontamente atendida pelo ilustre Vereador Marcelo Cabral Severino.</w:t>
      </w:r>
    </w:p>
    <w:p w14:paraId="41E0E4BA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BB37E7F" w14:textId="224522B1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10CCC">
        <w:rPr>
          <w:rFonts w:ascii="Verdana" w:hAnsi="Verdana"/>
          <w:sz w:val="24"/>
          <w:szCs w:val="24"/>
        </w:rPr>
        <w:t>Por fim</w:t>
      </w:r>
      <w:r w:rsidRPr="00B10CCC">
        <w:rPr>
          <w:rFonts w:ascii="Verdana" w:hAnsi="Verdana"/>
          <w:i/>
          <w:iCs/>
          <w:sz w:val="24"/>
          <w:szCs w:val="24"/>
        </w:rPr>
        <w:t>,</w:t>
      </w:r>
      <w:r w:rsidRPr="00B10CCC">
        <w:rPr>
          <w:rFonts w:ascii="Verdana" w:hAnsi="Verdana"/>
          <w:sz w:val="24"/>
          <w:szCs w:val="24"/>
        </w:rPr>
        <w:t xml:space="preserve"> cumpre destacar que a Comissão de Constituição, Legislação, Justiça e Redação pugnou pela constitucionalidade, legalidade, juridicidade e técnica legislativa do Projeto de Lei em comento</w:t>
      </w:r>
      <w:r>
        <w:rPr>
          <w:rFonts w:ascii="Verdana" w:hAnsi="Verdana"/>
          <w:sz w:val="24"/>
          <w:szCs w:val="24"/>
        </w:rPr>
        <w:t xml:space="preserve"> com emenda.</w:t>
      </w:r>
    </w:p>
    <w:p w14:paraId="6008C08D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ACFC926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>II – COMISSÃO DE ECONOMIA, FINANÇAS, FISCALIZAÇÃO E TOMADAS DE CONTAS</w:t>
      </w:r>
    </w:p>
    <w:p w14:paraId="20648E2C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CAEFFE1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10CCC">
        <w:rPr>
          <w:rFonts w:ascii="Verdana" w:hAnsi="Verdana"/>
          <w:sz w:val="24"/>
          <w:szCs w:val="24"/>
        </w:rPr>
        <w:t>Neste diapasão, cabe à Comissão de Economia, Finanças, Fiscalização e Tomadas de Contas as atribuições contidas no art.</w:t>
      </w:r>
      <w:r>
        <w:rPr>
          <w:rFonts w:ascii="Verdana" w:hAnsi="Verdana"/>
          <w:sz w:val="24"/>
          <w:szCs w:val="24"/>
        </w:rPr>
        <w:t xml:space="preserve"> </w:t>
      </w:r>
      <w:r w:rsidRPr="00B10CCC">
        <w:rPr>
          <w:rFonts w:ascii="Verdana" w:hAnsi="Verdana"/>
          <w:sz w:val="24"/>
          <w:szCs w:val="24"/>
        </w:rPr>
        <w:t xml:space="preserve">30, II, do Regimento Interno, que aduz: </w:t>
      </w:r>
    </w:p>
    <w:p w14:paraId="709B4908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04DA022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B10CCC">
        <w:rPr>
          <w:rFonts w:ascii="Verdana" w:hAnsi="Verdana" w:cs="Calibri"/>
          <w:sz w:val="20"/>
          <w:szCs w:val="20"/>
          <w:shd w:val="clear" w:color="auto" w:fill="FFFFFF"/>
        </w:rPr>
        <w:t>“Art. 30 Sem prejuízo do disposto no Art. 27, § 2º, da </w:t>
      </w:r>
      <w:hyperlink r:id="rId4" w:history="1">
        <w:r w:rsidRPr="00B10CCC">
          <w:rPr>
            <w:rStyle w:val="Hyperlink"/>
            <w:rFonts w:ascii="Verdana" w:hAnsi="Verdana" w:cs="Calibri"/>
            <w:color w:val="auto"/>
            <w:sz w:val="20"/>
            <w:szCs w:val="20"/>
            <w:shd w:val="clear" w:color="auto" w:fill="FFFFFF"/>
          </w:rPr>
          <w:t>Lei Orgânica</w:t>
        </w:r>
      </w:hyperlink>
      <w:r w:rsidRPr="00B10CCC">
        <w:rPr>
          <w:rFonts w:ascii="Verdana" w:hAnsi="Verdana" w:cs="Calibri"/>
          <w:sz w:val="20"/>
          <w:szCs w:val="20"/>
          <w:shd w:val="clear" w:color="auto" w:fill="FFFFFF"/>
        </w:rPr>
        <w:t>, compete:</w:t>
      </w:r>
    </w:p>
    <w:p w14:paraId="0D05054E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14:paraId="14A949B8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B10CCC">
        <w:rPr>
          <w:rFonts w:ascii="Verdana" w:hAnsi="Verdana" w:cs="Calibri"/>
          <w:sz w:val="20"/>
          <w:szCs w:val="20"/>
          <w:shd w:val="clear" w:color="auto" w:fill="FFFFFF"/>
        </w:rPr>
        <w:t>II - À Comissão de Economia, Finanças, Fiscalização e Tomada de Contas, os aspectos econômicos e financeiros, e, especialmente:</w:t>
      </w:r>
    </w:p>
    <w:p w14:paraId="3D7DDD27" w14:textId="77777777" w:rsidR="007D0325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B10CCC">
        <w:rPr>
          <w:rFonts w:ascii="Verdana" w:hAnsi="Verdana" w:cs="Calibri"/>
          <w:sz w:val="20"/>
          <w:szCs w:val="20"/>
        </w:rPr>
        <w:br/>
      </w:r>
      <w:r w:rsidRPr="00B10CCC">
        <w:rPr>
          <w:rFonts w:ascii="Verdana" w:hAnsi="Verdana" w:cs="Calibri"/>
          <w:sz w:val="20"/>
          <w:szCs w:val="20"/>
          <w:shd w:val="clear" w:color="auto" w:fill="FFFFFF"/>
        </w:rPr>
        <w:t>a) A matéria tributária, abertura de crédito adicional, operações de crédito, dívida pública, anistias e remissões de dívidas e outras que, direta ou indiretamente, alterem a despesa ou a receita do município, ou repercutem no patrimônio municipal.</w:t>
      </w:r>
    </w:p>
    <w:p w14:paraId="2099FBAF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14:paraId="4E592C3C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B10CCC">
        <w:rPr>
          <w:rFonts w:ascii="Verdana" w:hAnsi="Verdana" w:cs="Calibri"/>
          <w:sz w:val="20"/>
          <w:szCs w:val="20"/>
          <w:shd w:val="clear" w:color="auto" w:fill="FFFFFF"/>
        </w:rPr>
        <w:t>b) Os projetos de plano plurianual, da Lei de Diretrizes Orçamentárias e, privativamente, o projeto do orçamento anual e da prestação de contas do Prefeito Municipal e da Mesa da Câmara.</w:t>
      </w:r>
    </w:p>
    <w:p w14:paraId="4E02D476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B10CCC">
        <w:rPr>
          <w:rFonts w:ascii="Verdana" w:hAnsi="Verdana" w:cs="Calibri"/>
          <w:sz w:val="20"/>
          <w:szCs w:val="20"/>
        </w:rPr>
        <w:br/>
      </w:r>
      <w:r w:rsidRPr="00B10CCC">
        <w:rPr>
          <w:rFonts w:ascii="Verdana" w:hAnsi="Verdana" w:cs="Calibri"/>
          <w:sz w:val="20"/>
          <w:szCs w:val="20"/>
          <w:shd w:val="clear" w:color="auto" w:fill="FFFFFF"/>
        </w:rPr>
        <w:t xml:space="preserve">c) Todas as proposições que, quanto ao aspecto financeiro, </w:t>
      </w:r>
      <w:r w:rsidRPr="00B10CCC">
        <w:rPr>
          <w:rFonts w:ascii="Verdana" w:hAnsi="Verdana" w:cs="Calibri"/>
          <w:sz w:val="20"/>
          <w:szCs w:val="20"/>
          <w:shd w:val="clear" w:color="auto" w:fill="FFFFFF"/>
        </w:rPr>
        <w:lastRenderedPageBreak/>
        <w:t>concorram diretamente para aumentar ou diminuir a despesa, assim como a receita pública.</w:t>
      </w:r>
    </w:p>
    <w:p w14:paraId="5D9D8476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14:paraId="7EEF9BA6" w14:textId="77777777" w:rsidR="007D0325" w:rsidRPr="00B10CCC" w:rsidRDefault="007D0325" w:rsidP="007D0325">
      <w:pPr>
        <w:spacing w:after="0" w:line="360" w:lineRule="auto"/>
        <w:ind w:left="2835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 w:cs="Calibri"/>
          <w:sz w:val="20"/>
          <w:szCs w:val="20"/>
          <w:shd w:val="clear" w:color="auto" w:fill="FFFFFF"/>
        </w:rPr>
        <w:t>d) Todas as proposições decorrentes da competência prevista no artigo 40 da Constituição Estadual e artigo 84 da </w:t>
      </w:r>
      <w:hyperlink r:id="rId5" w:history="1">
        <w:r w:rsidRPr="00B10CCC">
          <w:rPr>
            <w:rStyle w:val="Hyperlink"/>
            <w:rFonts w:ascii="Verdana" w:hAnsi="Verdana" w:cs="Calibri"/>
            <w:color w:val="auto"/>
            <w:sz w:val="20"/>
            <w:szCs w:val="20"/>
            <w:u w:val="none"/>
            <w:shd w:val="clear" w:color="auto" w:fill="FFFFFF"/>
          </w:rPr>
          <w:t>Lei Orgânica</w:t>
        </w:r>
      </w:hyperlink>
      <w:r w:rsidRPr="00B10CCC">
        <w:rPr>
          <w:rFonts w:ascii="Verdana" w:hAnsi="Verdana" w:cs="Calibri"/>
          <w:sz w:val="20"/>
          <w:szCs w:val="20"/>
          <w:shd w:val="clear" w:color="auto" w:fill="FFFFFF"/>
        </w:rPr>
        <w:t> do município.”</w:t>
      </w:r>
    </w:p>
    <w:p w14:paraId="49332804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A92ECE8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10CCC">
        <w:rPr>
          <w:rFonts w:ascii="Verdana" w:hAnsi="Verdana"/>
          <w:sz w:val="24"/>
          <w:szCs w:val="24"/>
        </w:rPr>
        <w:t>Sendo assim, a presente matéria é pertinente para apreciação desta Comissão.</w:t>
      </w:r>
    </w:p>
    <w:p w14:paraId="019756C1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5E7CEC1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>III – DO MÉRITO</w:t>
      </w:r>
    </w:p>
    <w:p w14:paraId="48F39523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3AD2895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sz w:val="24"/>
          <w:szCs w:val="24"/>
        </w:rPr>
        <w:t>Desta forma, em relação às despesas, da adequação orçamentária financeira anual e da compatibilidade com as despesas e receitas previstas no Plano Plurianual e Lei de Diretrizes Orçamentária a propositura encontra-se de acordo o que preceitua a Lei de Responsabilidade Fiscal, principalmente no que diz respeito ao seu artigo 16, abaixo transcrito:</w:t>
      </w:r>
    </w:p>
    <w:p w14:paraId="64FABB96" w14:textId="77777777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0CCC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FB5312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>"Art. 16. - A criação, expansão ou aperfeiçoamento de ação governamental que acarrete aumento da despesa será acompanhado de:</w:t>
      </w:r>
    </w:p>
    <w:p w14:paraId="21AE8A65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400008A7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b/>
          <w:bCs/>
          <w:sz w:val="20"/>
          <w:szCs w:val="20"/>
        </w:rPr>
      </w:pPr>
      <w:r w:rsidRPr="00B10CCC">
        <w:rPr>
          <w:rFonts w:ascii="Verdana" w:hAnsi="Verdana"/>
          <w:b/>
          <w:bCs/>
          <w:sz w:val="20"/>
          <w:szCs w:val="20"/>
        </w:rPr>
        <w:t xml:space="preserve">I - Estimativa do impacto orçamentário-financeiro no exercício em que deva entrar em vigor e nos dois subsequentes; </w:t>
      </w:r>
    </w:p>
    <w:p w14:paraId="5C58D5D8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b/>
          <w:bCs/>
          <w:sz w:val="20"/>
          <w:szCs w:val="20"/>
        </w:rPr>
      </w:pPr>
    </w:p>
    <w:p w14:paraId="57109DE1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b/>
          <w:bCs/>
          <w:sz w:val="20"/>
          <w:szCs w:val="20"/>
        </w:rPr>
      </w:pPr>
      <w:r w:rsidRPr="00B10CCC">
        <w:rPr>
          <w:rFonts w:ascii="Verdana" w:hAnsi="Verdana"/>
          <w:b/>
          <w:bCs/>
          <w:sz w:val="20"/>
          <w:szCs w:val="20"/>
        </w:rPr>
        <w:t xml:space="preserve">II - Declaração do ordenador da despesa de que o aumento tem adequação orçamentária e financeira com a lei orçamentária anual e compatibilidade com o plano plurianual e com a lei de diretrizes orçamentárias. </w:t>
      </w:r>
    </w:p>
    <w:p w14:paraId="3385957C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26C47A3C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 xml:space="preserve">§ 1º - Para os fins desta Lei Complementar, considera-se: </w:t>
      </w:r>
    </w:p>
    <w:p w14:paraId="5A920E83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304392B4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 xml:space="preserve">I – Adequada com a lei orçamentária anual, a despesa objeto de dotação específica e suficiente, ou que </w:t>
      </w:r>
      <w:proofErr w:type="spellStart"/>
      <w:r w:rsidRPr="00B10CCC">
        <w:rPr>
          <w:rFonts w:ascii="Verdana" w:hAnsi="Verdana"/>
          <w:sz w:val="20"/>
          <w:szCs w:val="20"/>
        </w:rPr>
        <w:t>esteja</w:t>
      </w:r>
      <w:proofErr w:type="spellEnd"/>
      <w:r w:rsidRPr="00B10CCC">
        <w:rPr>
          <w:rFonts w:ascii="Verdana" w:hAnsi="Verdana"/>
          <w:sz w:val="20"/>
          <w:szCs w:val="20"/>
        </w:rPr>
        <w:t xml:space="preserve"> abrangida por crédito genérico de forma que somadas todas as despesas da mesma espécie, realizadas e a realizar, previstas no programa de trabalho, não sejam ultrapassados os limites estabelecidos p= o exercício; </w:t>
      </w:r>
    </w:p>
    <w:p w14:paraId="2B5FD870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16FEFA63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>II – Compatível com o plano plurianual e a lei de diretrizes orçamentárias, a despesa que se conforme com as diretrizes, objetivos; prioridades, e metas previstos nesses instrumentos e não infrinja qualquer de suas disposições.</w:t>
      </w:r>
    </w:p>
    <w:p w14:paraId="4ED85632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5C6F98C6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>§ 2° - A estimativa de que trata o inciso I dó caput será acompanhada das premissas e metodologia de cálculo utilizadas.</w:t>
      </w:r>
    </w:p>
    <w:p w14:paraId="4044D140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2B1C5E9D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 xml:space="preserve">§3º - Ressalva-se dó disposto neste artigo a despesa considerada irrelevante, nos termos em que dispuser a lei de diretrizes orçamentárias. </w:t>
      </w:r>
    </w:p>
    <w:p w14:paraId="7A66891E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4AA74D2B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 xml:space="preserve">§4º - As normas dó caput constituem condição prévia para: </w:t>
      </w:r>
    </w:p>
    <w:p w14:paraId="0F483B79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611E440E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 xml:space="preserve">I – Empenho e licitação de serviços, fornecimento de bens ou execução de obras; </w:t>
      </w:r>
    </w:p>
    <w:p w14:paraId="6125C8A4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</w:p>
    <w:p w14:paraId="018F2994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0"/>
          <w:szCs w:val="20"/>
        </w:rPr>
      </w:pPr>
      <w:r w:rsidRPr="00B10CCC">
        <w:rPr>
          <w:rFonts w:ascii="Verdana" w:hAnsi="Verdana"/>
          <w:sz w:val="20"/>
          <w:szCs w:val="20"/>
        </w:rPr>
        <w:t>II – Desapropriação de imóveis urbanos a que se refere o §3° do art. 182 da Constituição "</w:t>
      </w:r>
    </w:p>
    <w:p w14:paraId="6C3AB8C0" w14:textId="77777777" w:rsidR="007D0325" w:rsidRPr="00B10CCC" w:rsidRDefault="007D0325" w:rsidP="007D0325">
      <w:pPr>
        <w:spacing w:after="0" w:line="360" w:lineRule="auto"/>
        <w:ind w:left="3402"/>
        <w:jc w:val="both"/>
        <w:rPr>
          <w:rFonts w:ascii="Verdana" w:hAnsi="Verdana"/>
          <w:sz w:val="24"/>
          <w:szCs w:val="24"/>
        </w:rPr>
      </w:pPr>
    </w:p>
    <w:p w14:paraId="23CEA17A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B10CCC">
        <w:rPr>
          <w:rFonts w:ascii="Verdana" w:hAnsi="Verdana"/>
        </w:rPr>
        <w:t xml:space="preserve">Com relação aos aspectos materiais, de igual maneira nada obsta a sua tramitação, uma vez que não há conflito de matéria com a Carta Magna. </w:t>
      </w:r>
    </w:p>
    <w:p w14:paraId="491590C6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14:paraId="5B5FD265" w14:textId="72E48846" w:rsidR="007D0325" w:rsidRPr="00B10CCC" w:rsidRDefault="007D0325" w:rsidP="007D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10CCC">
        <w:rPr>
          <w:rFonts w:ascii="Verdana" w:hAnsi="Verdana"/>
          <w:sz w:val="24"/>
          <w:szCs w:val="24"/>
        </w:rPr>
        <w:t xml:space="preserve">Analisando sob o aspecto do mérito encontramos elementos suficientes para aquiescer com o </w:t>
      </w:r>
      <w:r>
        <w:rPr>
          <w:rFonts w:ascii="Verdana" w:hAnsi="Verdana"/>
          <w:sz w:val="24"/>
          <w:szCs w:val="24"/>
        </w:rPr>
        <w:t>C</w:t>
      </w:r>
      <w:r w:rsidRPr="00B10CCC">
        <w:rPr>
          <w:rFonts w:ascii="Verdana" w:hAnsi="Verdana"/>
          <w:sz w:val="24"/>
          <w:szCs w:val="24"/>
        </w:rPr>
        <w:t xml:space="preserve">hefe do Poder Executivo Municipal, dando assim a </w:t>
      </w:r>
      <w:r w:rsidRPr="00B10CCC">
        <w:rPr>
          <w:rFonts w:ascii="Verdana" w:hAnsi="Verdana"/>
          <w:sz w:val="24"/>
          <w:szCs w:val="24"/>
        </w:rPr>
        <w:lastRenderedPageBreak/>
        <w:t>devida autorização Legislativa para que o Poder Executivo Municipal possa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conceder a gratificação por exercício de responsabilidade técnica para os servidores efetivos nos cargos de enfermeiro e médico veterinário</w:t>
      </w:r>
      <w:r w:rsidR="003860E8">
        <w:rPr>
          <w:rFonts w:ascii="Verdana" w:hAnsi="Verdana"/>
          <w:sz w:val="24"/>
          <w:szCs w:val="24"/>
        </w:rPr>
        <w:t>.</w:t>
      </w:r>
    </w:p>
    <w:p w14:paraId="06175E10" w14:textId="77777777" w:rsidR="007D0325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14:paraId="49803878" w14:textId="10AB240C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B10CCC">
        <w:rPr>
          <w:rFonts w:ascii="Verdana" w:hAnsi="Verdana"/>
        </w:rPr>
        <w:t>Por fim, constata-se que o Projeto de Lei em questão encontra-se em perfeita sintonia com as peças orçamentárias, Lei Orçamentária Anual, Lei de Diretrizes Orçamentárias e Plano Plurianual, mediante a declaração do ordenador de despesa</w:t>
      </w:r>
      <w:r w:rsidR="003860E8">
        <w:rPr>
          <w:rFonts w:ascii="Verdana" w:hAnsi="Verdana"/>
        </w:rPr>
        <w:t xml:space="preserve"> (fls. 08)</w:t>
      </w:r>
      <w:r>
        <w:rPr>
          <w:rFonts w:ascii="Verdana" w:hAnsi="Verdana"/>
        </w:rPr>
        <w:t>,</w:t>
      </w:r>
      <w:r w:rsidRPr="00B10CCC">
        <w:rPr>
          <w:rFonts w:ascii="Verdana" w:hAnsi="Verdana"/>
        </w:rPr>
        <w:t xml:space="preserve"> bem como é devidamente instruído com impacto </w:t>
      </w:r>
      <w:r>
        <w:rPr>
          <w:rFonts w:ascii="Verdana" w:hAnsi="Verdana"/>
        </w:rPr>
        <w:t>orçamentário-</w:t>
      </w:r>
      <w:r w:rsidRPr="00B10CCC">
        <w:rPr>
          <w:rFonts w:ascii="Verdana" w:hAnsi="Verdana"/>
        </w:rPr>
        <w:t>financeiro</w:t>
      </w:r>
      <w:r w:rsidR="003860E8">
        <w:rPr>
          <w:rFonts w:ascii="Verdana" w:hAnsi="Verdana"/>
        </w:rPr>
        <w:t xml:space="preserve"> (fls.06/07)</w:t>
      </w:r>
      <w:r w:rsidRPr="00B10CCC">
        <w:rPr>
          <w:rFonts w:ascii="Verdana" w:hAnsi="Verdana"/>
        </w:rPr>
        <w:t>, portanto atendidos os requisitos do art. 16, I e II da Lei de Responsabilidade Fiscal.</w:t>
      </w:r>
    </w:p>
    <w:p w14:paraId="57033752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</w:rPr>
      </w:pPr>
    </w:p>
    <w:p w14:paraId="316E3BED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</w:rPr>
      </w:pPr>
      <w:r w:rsidRPr="00B10CCC">
        <w:rPr>
          <w:rFonts w:ascii="Verdana" w:hAnsi="Verdana" w:cs="Arial"/>
          <w:b/>
          <w:bCs/>
        </w:rPr>
        <w:t xml:space="preserve">IV – CONCLUSÃO </w:t>
      </w:r>
    </w:p>
    <w:p w14:paraId="6CFDC597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p w14:paraId="5E923188" w14:textId="693ED18B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B10CCC">
        <w:rPr>
          <w:rFonts w:ascii="Verdana" w:hAnsi="Verdana" w:cs="Arial"/>
        </w:rPr>
        <w:t>Ante o exposto, após análise do Projeto de Lei, opino favoravelmente a matéria em questão</w:t>
      </w:r>
      <w:r w:rsidR="003860E8">
        <w:rPr>
          <w:rFonts w:ascii="Verdana" w:hAnsi="Verdana" w:cs="Arial"/>
        </w:rPr>
        <w:t xml:space="preserve"> com emenda</w:t>
      </w:r>
      <w:r w:rsidRPr="00B10CCC">
        <w:rPr>
          <w:rFonts w:ascii="Verdana" w:hAnsi="Verdana" w:cs="Arial"/>
        </w:rPr>
        <w:t>, bem como sejam adotadas a cautelas de estilo para prosseguimento do presente.</w:t>
      </w:r>
    </w:p>
    <w:p w14:paraId="29831C07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p w14:paraId="25D7086B" w14:textId="17A51C3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</w:rPr>
      </w:pPr>
      <w:r w:rsidRPr="00B10CCC">
        <w:rPr>
          <w:rFonts w:ascii="Verdana" w:hAnsi="Verdana" w:cs="Arial"/>
        </w:rPr>
        <w:t>Aracruz/E</w:t>
      </w:r>
      <w:r w:rsidR="003860E8">
        <w:rPr>
          <w:rFonts w:ascii="Verdana" w:hAnsi="Verdana" w:cs="Arial"/>
        </w:rPr>
        <w:t>S, 25 de novembro</w:t>
      </w:r>
      <w:r w:rsidRPr="00B10CCC">
        <w:rPr>
          <w:rFonts w:ascii="Verdana" w:hAnsi="Verdana" w:cs="Arial"/>
        </w:rPr>
        <w:t xml:space="preserve"> de 2022.</w:t>
      </w:r>
    </w:p>
    <w:p w14:paraId="456ABC79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</w:rPr>
      </w:pPr>
    </w:p>
    <w:p w14:paraId="2ACD525D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</w:rPr>
      </w:pPr>
    </w:p>
    <w:p w14:paraId="21DD7C8C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</w:rPr>
      </w:pPr>
      <w:r w:rsidRPr="00B10CCC">
        <w:rPr>
          <w:rFonts w:ascii="Verdana" w:hAnsi="Verdana" w:cs="Arial"/>
          <w:b/>
          <w:bCs/>
        </w:rPr>
        <w:t>ADRIANA GUIMARÃES MACHADO</w:t>
      </w:r>
    </w:p>
    <w:p w14:paraId="48FFDAA1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</w:rPr>
      </w:pPr>
      <w:r w:rsidRPr="00B10CCC">
        <w:rPr>
          <w:rFonts w:ascii="Verdana" w:hAnsi="Verdana" w:cs="Arial"/>
        </w:rPr>
        <w:t>Vereadora – REPUBLICANOS</w:t>
      </w:r>
    </w:p>
    <w:p w14:paraId="1A732F2D" w14:textId="77777777" w:rsidR="007D0325" w:rsidRPr="00B10CCC" w:rsidRDefault="007D0325" w:rsidP="007D032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</w:rPr>
      </w:pPr>
      <w:r w:rsidRPr="00B10CCC">
        <w:rPr>
          <w:rFonts w:ascii="Verdana" w:hAnsi="Verdana" w:cs="Arial"/>
        </w:rPr>
        <w:t>Relatora</w:t>
      </w:r>
    </w:p>
    <w:p w14:paraId="4FE59F46" w14:textId="77777777" w:rsidR="007D0325" w:rsidRDefault="007D0325" w:rsidP="007D0325"/>
    <w:p w14:paraId="371C16AC" w14:textId="77777777" w:rsidR="007D0325" w:rsidRDefault="007D0325" w:rsidP="007D0325"/>
    <w:p w14:paraId="73B2A96F" w14:textId="77777777" w:rsidR="009B3B15" w:rsidRDefault="009B3B15"/>
    <w:sectPr w:rsidR="009B3B15" w:rsidSect="000828C7">
      <w:headerReference w:type="default" r:id="rId6"/>
      <w:footerReference w:type="default" r:id="rId7"/>
      <w:pgSz w:w="11906" w:h="16838"/>
      <w:pgMar w:top="1417" w:right="1133" w:bottom="993" w:left="1701" w:header="426" w:footer="4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A191" w14:textId="77777777" w:rsidR="00DC7643" w:rsidRDefault="003860E8" w:rsidP="00DC7643">
    <w:pPr>
      <w:pBdr>
        <w:bottom w:val="single" w:sz="12" w:space="1" w:color="auto"/>
      </w:pBdr>
      <w:spacing w:after="0" w:line="240" w:lineRule="auto"/>
      <w:rPr>
        <w:rFonts w:ascii="Verdana" w:hAnsi="Verdana" w:cs="Arial"/>
        <w:sz w:val="16"/>
        <w:szCs w:val="16"/>
      </w:rPr>
    </w:pPr>
  </w:p>
  <w:p w14:paraId="27E933C2" w14:textId="77777777" w:rsidR="00DC7643" w:rsidRPr="0074012B" w:rsidRDefault="003860E8" w:rsidP="00DC7643">
    <w:pPr>
      <w:spacing w:after="0" w:line="240" w:lineRule="auto"/>
      <w:jc w:val="center"/>
      <w:rPr>
        <w:rFonts w:ascii="Verdana" w:hAnsi="Verdana" w:cs="Arial"/>
        <w:sz w:val="16"/>
        <w:szCs w:val="16"/>
      </w:rPr>
    </w:pPr>
    <w:r w:rsidRPr="0074012B">
      <w:rPr>
        <w:rFonts w:ascii="Verdana" w:hAnsi="Verdana" w:cs="Arial"/>
        <w:sz w:val="16"/>
        <w:szCs w:val="16"/>
      </w:rPr>
      <w:t xml:space="preserve">Rua Professor Lobo, 550 – Centro – Aracruz – E. Santo – CEP 29.190-910 – </w:t>
    </w:r>
    <w:proofErr w:type="spellStart"/>
    <w:r w:rsidRPr="0074012B">
      <w:rPr>
        <w:rFonts w:ascii="Verdana" w:hAnsi="Verdana" w:cs="Arial"/>
        <w:sz w:val="16"/>
        <w:szCs w:val="16"/>
      </w:rPr>
      <w:t>Tel</w:t>
    </w:r>
    <w:proofErr w:type="spellEnd"/>
    <w:r w:rsidRPr="0074012B">
      <w:rPr>
        <w:rFonts w:ascii="Verdana" w:hAnsi="Verdana" w:cs="Arial"/>
        <w:sz w:val="16"/>
        <w:szCs w:val="16"/>
      </w:rPr>
      <w:t>: (27) 3256-9491</w:t>
    </w:r>
  </w:p>
  <w:p w14:paraId="38736B86" w14:textId="77777777" w:rsidR="00DC7643" w:rsidRPr="0074012B" w:rsidRDefault="003860E8" w:rsidP="00DC7643">
    <w:pPr>
      <w:spacing w:after="0" w:line="240" w:lineRule="auto"/>
      <w:jc w:val="center"/>
      <w:rPr>
        <w:sz w:val="16"/>
        <w:szCs w:val="16"/>
      </w:rPr>
    </w:pPr>
    <w:r w:rsidRPr="0074012B">
      <w:rPr>
        <w:rFonts w:ascii="Verdana" w:hAnsi="Verdana" w:cs="Arial"/>
        <w:sz w:val="16"/>
        <w:szCs w:val="16"/>
      </w:rPr>
      <w:t xml:space="preserve">Telefax: (27) 3256-9492 – E-mail: </w:t>
    </w:r>
    <w:hyperlink r:id="rId1" w:history="1">
      <w:r w:rsidRPr="0074012B">
        <w:rPr>
          <w:rStyle w:val="Hyperlink"/>
          <w:rFonts w:ascii="Verdana" w:hAnsi="Verdana" w:cs="Arial"/>
          <w:sz w:val="16"/>
          <w:szCs w:val="16"/>
        </w:rPr>
        <w:t>cmacz@cma.es.gov.br</w:t>
      </w:r>
    </w:hyperlink>
    <w:r w:rsidRPr="0074012B">
      <w:rPr>
        <w:rFonts w:ascii="Verdana" w:hAnsi="Verdana" w:cs="Arial"/>
        <w:sz w:val="16"/>
        <w:szCs w:val="16"/>
      </w:rPr>
      <w:t xml:space="preserve"> – Site: www.cma.es.gov.br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A0F2" w14:textId="77777777" w:rsidR="00DC7643" w:rsidRPr="006C1B02" w:rsidRDefault="003860E8" w:rsidP="00DC7643">
    <w:pPr>
      <w:jc w:val="center"/>
      <w:rPr>
        <w:sz w:val="12"/>
      </w:rPr>
    </w:pPr>
    <w:r>
      <w:rPr>
        <w:rFonts w:ascii="Edwardian Script ITC" w:hAnsi="Edwardian Script ITC"/>
        <w:noProof/>
        <w:sz w:val="66"/>
        <w:szCs w:val="66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3670DFD8" wp14:editId="23482F19">
          <wp:simplePos x="0" y="0"/>
          <wp:positionH relativeFrom="column">
            <wp:posOffset>-66675</wp:posOffset>
          </wp:positionH>
          <wp:positionV relativeFrom="paragraph">
            <wp:posOffset>75565</wp:posOffset>
          </wp:positionV>
          <wp:extent cx="1047750" cy="925830"/>
          <wp:effectExtent l="19050" t="19050" r="19050" b="266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1434D" w14:textId="77777777" w:rsidR="00DC7643" w:rsidRPr="00314F8E" w:rsidRDefault="003860E8" w:rsidP="00DC7643">
    <w:pPr>
      <w:pStyle w:val="Cabealho"/>
      <w:jc w:val="right"/>
      <w:rPr>
        <w:rFonts w:ascii="Edwardian Script ITC" w:hAnsi="Edwardian Script ITC"/>
        <w:sz w:val="66"/>
        <w:szCs w:val="66"/>
        <w:u w:val="single"/>
      </w:rPr>
    </w:pP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 xml:space="preserve">âmara </w:t>
    </w:r>
    <w:r w:rsidRPr="00206B48">
      <w:rPr>
        <w:rFonts w:ascii="Edwardian Script ITC" w:hAnsi="Edwardian Script ITC"/>
        <w:sz w:val="72"/>
        <w:szCs w:val="72"/>
        <w:u w:val="single"/>
      </w:rPr>
      <w:t>Municipal de Aracruz</w:t>
    </w:r>
  </w:p>
  <w:p w14:paraId="22CF9D38" w14:textId="77777777" w:rsidR="00DC7643" w:rsidRPr="00206B48" w:rsidRDefault="003860E8" w:rsidP="00DC7643">
    <w:pPr>
      <w:pStyle w:val="Cabealho"/>
      <w:rPr>
        <w:sz w:val="28"/>
        <w:szCs w:val="28"/>
      </w:rPr>
    </w:pPr>
    <w:r>
      <w:t xml:space="preserve">                                              </w:t>
    </w:r>
    <w:r w:rsidRPr="00206B48">
      <w:rPr>
        <w:b/>
        <w:sz w:val="28"/>
        <w:szCs w:val="28"/>
      </w:rPr>
      <w:t>ESTADO DO ESPÍRITO SANTO</w:t>
    </w:r>
  </w:p>
  <w:p w14:paraId="11CF2252" w14:textId="77777777" w:rsidR="00DC7643" w:rsidRPr="001D1E68" w:rsidRDefault="003860E8" w:rsidP="00DC764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5"/>
    <w:rsid w:val="003860E8"/>
    <w:rsid w:val="007D0325"/>
    <w:rsid w:val="009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1724"/>
  <w15:chartTrackingRefBased/>
  <w15:docId w15:val="{4ACFE883-4E43-45AD-B96A-50DACD4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25"/>
  </w:style>
  <w:style w:type="character" w:styleId="Hyperlink">
    <w:name w:val="Hyperlink"/>
    <w:rsid w:val="007D0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eismunicipais.com.br/a2/lei-organica-aracruz-es" TargetMode="External"/><Relationship Id="rId4" Type="http://schemas.openxmlformats.org/officeDocument/2006/relationships/hyperlink" Target="https://leismunicipais.com.br/a2/lei-organica-aracruz-es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2204</Words>
  <Characters>11903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Adriana Guimarães Machado</dc:creator>
  <cp:keywords/>
  <dc:description/>
  <cp:lastModifiedBy>Gabinete Adriana Guimarães Machado</cp:lastModifiedBy>
  <cp:revision>1</cp:revision>
  <cp:lastPrinted>2022-11-25T11:16:00Z</cp:lastPrinted>
  <dcterms:created xsi:type="dcterms:W3CDTF">2022-11-25T11:03:00Z</dcterms:created>
  <dcterms:modified xsi:type="dcterms:W3CDTF">2022-11-25T11:17:00Z</dcterms:modified>
</cp:coreProperties>
</file>