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41A49" w:rsidRPr="000A2D7F" w:rsidRDefault="00D41A49" w:rsidP="00B20366">
      <w:pPr>
        <w:suppressAutoHyphens/>
        <w:spacing w:after="0" w:line="240" w:lineRule="auto"/>
        <w:jc w:val="both"/>
        <w:rPr>
          <w:rFonts w:ascii="Arial" w:eastAsia="Arial" w:hAnsi="Arial" w:cs="Arial"/>
          <w:b/>
          <w:sz w:val="28"/>
          <w:szCs w:val="24"/>
          <w:u w:val="single"/>
        </w:rPr>
      </w:pPr>
      <w:r w:rsidRPr="000A2D7F">
        <w:rPr>
          <w:rFonts w:ascii="Arial" w:eastAsia="Arial" w:hAnsi="Arial" w:cs="Arial"/>
          <w:b/>
          <w:sz w:val="28"/>
          <w:szCs w:val="24"/>
          <w:u w:val="single"/>
        </w:rPr>
        <w:t xml:space="preserve">EMENDA </w:t>
      </w:r>
      <w:r w:rsidR="004802B2">
        <w:rPr>
          <w:rFonts w:ascii="Arial" w:eastAsia="Arial" w:hAnsi="Arial" w:cs="Arial"/>
          <w:b/>
          <w:sz w:val="28"/>
          <w:szCs w:val="24"/>
          <w:u w:val="single"/>
        </w:rPr>
        <w:t>SUPRESSIVA</w:t>
      </w:r>
      <w:r w:rsidRPr="000A2D7F">
        <w:rPr>
          <w:rFonts w:ascii="Arial" w:eastAsia="Arial" w:hAnsi="Arial" w:cs="Arial"/>
          <w:b/>
          <w:sz w:val="28"/>
          <w:szCs w:val="24"/>
          <w:u w:val="single"/>
        </w:rPr>
        <w:t xml:space="preserve"> N° </w:t>
      </w:r>
      <w:r w:rsidR="000A2D7F" w:rsidRPr="000A2D7F">
        <w:rPr>
          <w:rFonts w:ascii="Arial" w:eastAsia="Arial" w:hAnsi="Arial" w:cs="Arial"/>
          <w:b/>
          <w:sz w:val="28"/>
          <w:szCs w:val="24"/>
          <w:u w:val="single"/>
        </w:rPr>
        <w:t xml:space="preserve">       </w:t>
      </w:r>
      <w:r w:rsidRPr="000A2D7F">
        <w:rPr>
          <w:rFonts w:ascii="Arial" w:eastAsia="Arial" w:hAnsi="Arial" w:cs="Arial"/>
          <w:b/>
          <w:sz w:val="28"/>
          <w:szCs w:val="24"/>
          <w:u w:val="single"/>
        </w:rPr>
        <w:t>/201</w:t>
      </w:r>
      <w:r w:rsidR="000A2D7F" w:rsidRPr="000A2D7F">
        <w:rPr>
          <w:rFonts w:ascii="Arial" w:eastAsia="Arial" w:hAnsi="Arial" w:cs="Arial"/>
          <w:b/>
          <w:sz w:val="28"/>
          <w:szCs w:val="24"/>
          <w:u w:val="single"/>
        </w:rPr>
        <w:t>9</w:t>
      </w:r>
      <w:r w:rsidRPr="000A2D7F">
        <w:rPr>
          <w:rFonts w:ascii="Arial" w:eastAsia="Arial" w:hAnsi="Arial" w:cs="Arial"/>
          <w:b/>
          <w:sz w:val="28"/>
          <w:szCs w:val="24"/>
          <w:u w:val="single"/>
        </w:rPr>
        <w:t xml:space="preserve"> AO SUBSTITUTIVO </w:t>
      </w:r>
      <w:r w:rsidR="0081197E" w:rsidRPr="000A2D7F">
        <w:rPr>
          <w:rFonts w:ascii="Arial" w:eastAsia="Arial" w:hAnsi="Arial" w:cs="Arial"/>
          <w:b/>
          <w:sz w:val="28"/>
          <w:szCs w:val="24"/>
          <w:u w:val="single"/>
        </w:rPr>
        <w:t>D</w:t>
      </w:r>
      <w:r w:rsidRPr="000A2D7F">
        <w:rPr>
          <w:rFonts w:ascii="Arial" w:eastAsia="Arial" w:hAnsi="Arial" w:cs="Arial"/>
          <w:b/>
          <w:sz w:val="28"/>
          <w:szCs w:val="24"/>
          <w:u w:val="single"/>
        </w:rPr>
        <w:t>O PROJETO DE LEI Nº 0</w:t>
      </w:r>
      <w:r w:rsidR="0081197E" w:rsidRPr="000A2D7F">
        <w:rPr>
          <w:rFonts w:ascii="Arial" w:eastAsia="Arial" w:hAnsi="Arial" w:cs="Arial"/>
          <w:b/>
          <w:sz w:val="28"/>
          <w:szCs w:val="24"/>
          <w:u w:val="single"/>
        </w:rPr>
        <w:t>21</w:t>
      </w:r>
      <w:r w:rsidRPr="000A2D7F">
        <w:rPr>
          <w:rFonts w:ascii="Arial" w:eastAsia="Arial" w:hAnsi="Arial" w:cs="Arial"/>
          <w:b/>
          <w:sz w:val="28"/>
          <w:szCs w:val="24"/>
          <w:u w:val="single"/>
        </w:rPr>
        <w:t>/2018</w:t>
      </w:r>
    </w:p>
    <w:p w:rsidR="00D41A49" w:rsidRPr="00B8299B" w:rsidRDefault="00D41A49" w:rsidP="00B20366">
      <w:pPr>
        <w:suppressAutoHyphens/>
        <w:spacing w:after="0" w:line="240" w:lineRule="auto"/>
        <w:jc w:val="both"/>
        <w:rPr>
          <w:rFonts w:ascii="Arial" w:eastAsia="Arial" w:hAnsi="Arial" w:cs="Arial"/>
          <w:b/>
          <w:sz w:val="24"/>
          <w:szCs w:val="24"/>
          <w:u w:val="single"/>
        </w:rPr>
      </w:pPr>
    </w:p>
    <w:p w:rsidR="00D41A49" w:rsidRPr="00B8299B" w:rsidRDefault="00D41A49" w:rsidP="00B20366">
      <w:pPr>
        <w:suppressAutoHyphens/>
        <w:spacing w:after="0" w:line="240" w:lineRule="auto"/>
        <w:jc w:val="center"/>
        <w:rPr>
          <w:rFonts w:ascii="Arial" w:eastAsia="Arial" w:hAnsi="Arial" w:cs="Arial"/>
          <w:b/>
          <w:sz w:val="24"/>
          <w:szCs w:val="24"/>
        </w:rPr>
      </w:pPr>
    </w:p>
    <w:p w:rsidR="00D41A49" w:rsidRPr="00B8299B" w:rsidRDefault="00D41A49" w:rsidP="00B20366">
      <w:pPr>
        <w:suppressAutoHyphens/>
        <w:spacing w:after="0" w:line="240" w:lineRule="auto"/>
        <w:jc w:val="center"/>
        <w:rPr>
          <w:rFonts w:ascii="Arial" w:eastAsia="Arial" w:hAnsi="Arial" w:cs="Arial"/>
          <w:b/>
          <w:sz w:val="24"/>
          <w:szCs w:val="24"/>
        </w:rPr>
      </w:pPr>
    </w:p>
    <w:p w:rsidR="00B413F9" w:rsidRDefault="004802B2" w:rsidP="00515E0A">
      <w:pPr>
        <w:suppressAutoHyphens/>
        <w:spacing w:after="0" w:line="240" w:lineRule="auto"/>
        <w:jc w:val="both"/>
        <w:rPr>
          <w:rFonts w:ascii="Arial" w:eastAsia="Arial" w:hAnsi="Arial" w:cs="Arial"/>
          <w:sz w:val="24"/>
          <w:szCs w:val="24"/>
        </w:rPr>
      </w:pPr>
      <w:bookmarkStart w:id="0" w:name="_GoBack"/>
      <w:r w:rsidRPr="004C780E">
        <w:rPr>
          <w:rFonts w:ascii="Arial" w:eastAsia="Arial" w:hAnsi="Arial" w:cs="Arial"/>
          <w:sz w:val="24"/>
          <w:szCs w:val="24"/>
        </w:rPr>
        <w:t xml:space="preserve">Fica suprimido o </w:t>
      </w:r>
      <w:r>
        <w:rPr>
          <w:rFonts w:ascii="Arial" w:eastAsia="Arial" w:hAnsi="Arial" w:cs="Arial"/>
          <w:sz w:val="24"/>
          <w:szCs w:val="24"/>
        </w:rPr>
        <w:t xml:space="preserve">Artigo </w:t>
      </w:r>
      <w:r w:rsidR="00EA4D15">
        <w:rPr>
          <w:rFonts w:ascii="Arial" w:eastAsia="Arial" w:hAnsi="Arial" w:cs="Arial"/>
          <w:sz w:val="24"/>
          <w:szCs w:val="24"/>
        </w:rPr>
        <w:t>53</w:t>
      </w:r>
      <w:r>
        <w:rPr>
          <w:rFonts w:ascii="Arial" w:eastAsia="Arial" w:hAnsi="Arial" w:cs="Arial"/>
          <w:sz w:val="24"/>
          <w:szCs w:val="24"/>
        </w:rPr>
        <w:t xml:space="preserve"> do Substitutivo ao Projeto de Lei 021/2018, de autoria do Poder Executivo Municipal, com a seguinte redação</w:t>
      </w:r>
      <w:r w:rsidR="00B413F9">
        <w:rPr>
          <w:rFonts w:ascii="Arial" w:eastAsia="Arial" w:hAnsi="Arial" w:cs="Arial"/>
          <w:sz w:val="24"/>
          <w:szCs w:val="24"/>
        </w:rPr>
        <w:t xml:space="preserve">: </w:t>
      </w:r>
    </w:p>
    <w:p w:rsidR="000A2D7F" w:rsidRDefault="000A2D7F" w:rsidP="00515E0A">
      <w:pPr>
        <w:suppressAutoHyphens/>
        <w:spacing w:after="0" w:line="240" w:lineRule="auto"/>
        <w:jc w:val="both"/>
        <w:rPr>
          <w:rFonts w:ascii="Arial" w:eastAsia="Arial" w:hAnsi="Arial" w:cs="Arial"/>
          <w:sz w:val="24"/>
          <w:szCs w:val="24"/>
        </w:rPr>
      </w:pPr>
    </w:p>
    <w:p w:rsidR="001D157C" w:rsidRPr="001D157C" w:rsidRDefault="000A2D7F" w:rsidP="004964E6">
      <w:pPr>
        <w:pStyle w:val="Default"/>
        <w:jc w:val="both"/>
        <w:rPr>
          <w:rFonts w:ascii="Arial" w:eastAsia="Arial" w:hAnsi="Arial" w:cs="Arial"/>
          <w:i/>
        </w:rPr>
      </w:pPr>
      <w:r w:rsidRPr="000A2D7F">
        <w:rPr>
          <w:rFonts w:ascii="Arial" w:eastAsia="Arial" w:hAnsi="Arial" w:cs="Arial"/>
        </w:rPr>
        <w:t xml:space="preserve"> </w:t>
      </w:r>
      <w:r w:rsidR="00610589" w:rsidRPr="002A6272">
        <w:rPr>
          <w:rFonts w:ascii="Arial" w:eastAsia="Arial" w:hAnsi="Arial" w:cs="Arial"/>
          <w:b/>
          <w:i/>
        </w:rPr>
        <w:t>“</w:t>
      </w:r>
      <w:r w:rsidR="001D157C" w:rsidRPr="001D157C">
        <w:rPr>
          <w:rFonts w:ascii="Arial" w:eastAsia="Arial" w:hAnsi="Arial" w:cs="Arial"/>
          <w:b/>
          <w:i/>
        </w:rPr>
        <w:t>Art. 53</w:t>
      </w:r>
      <w:r w:rsidR="001D157C" w:rsidRPr="001D157C">
        <w:rPr>
          <w:rFonts w:ascii="Arial" w:eastAsia="Arial" w:hAnsi="Arial" w:cs="Arial"/>
          <w:i/>
        </w:rPr>
        <w:t xml:space="preserve">. Mensalmente, até o dia 20 (vinte) do mês subsequente ao de competência, serão recolhidos aos cofres do Município os valores referentes à taxa de serviço de gerenciamento previstos no art. 10, I, da Lei nº 3.693, de 06.12.1984, com base no § 1º deste artigo. </w:t>
      </w:r>
    </w:p>
    <w:p w:rsidR="001D157C" w:rsidRPr="001D157C" w:rsidRDefault="001D157C" w:rsidP="001D157C">
      <w:pPr>
        <w:spacing w:after="14" w:line="249" w:lineRule="auto"/>
        <w:ind w:right="77"/>
        <w:jc w:val="both"/>
        <w:rPr>
          <w:rFonts w:ascii="Arial" w:eastAsia="Arial" w:hAnsi="Arial" w:cs="Arial"/>
          <w:i/>
          <w:sz w:val="24"/>
          <w:szCs w:val="24"/>
        </w:rPr>
      </w:pPr>
    </w:p>
    <w:p w:rsidR="001D157C" w:rsidRDefault="001D157C" w:rsidP="001D157C">
      <w:pPr>
        <w:spacing w:after="14" w:line="249" w:lineRule="auto"/>
        <w:ind w:right="77"/>
        <w:jc w:val="both"/>
        <w:rPr>
          <w:rFonts w:ascii="Arial" w:eastAsia="Arial" w:hAnsi="Arial" w:cs="Arial"/>
          <w:i/>
          <w:sz w:val="24"/>
          <w:szCs w:val="24"/>
        </w:rPr>
      </w:pPr>
      <w:r w:rsidRPr="001D157C">
        <w:rPr>
          <w:rFonts w:ascii="Arial" w:eastAsia="Arial" w:hAnsi="Arial" w:cs="Arial"/>
          <w:b/>
          <w:i/>
          <w:sz w:val="24"/>
          <w:szCs w:val="24"/>
        </w:rPr>
        <w:t>§ 1º</w:t>
      </w:r>
      <w:r w:rsidRPr="001D157C">
        <w:rPr>
          <w:rFonts w:ascii="Arial" w:eastAsia="Arial" w:hAnsi="Arial" w:cs="Arial"/>
          <w:i/>
          <w:sz w:val="24"/>
          <w:szCs w:val="24"/>
        </w:rPr>
        <w:t xml:space="preserve"> O valor da taxa de serviço de gerenciamento será cobrado com base na quantidade e capacidade do veículo, conforme tabela abaixo:</w:t>
      </w:r>
    </w:p>
    <w:p w:rsidR="001D157C" w:rsidRPr="001D157C" w:rsidRDefault="001D157C" w:rsidP="001D157C">
      <w:pPr>
        <w:spacing w:after="14" w:line="249" w:lineRule="auto"/>
        <w:ind w:right="77"/>
        <w:jc w:val="both"/>
        <w:rPr>
          <w:rFonts w:ascii="Arial" w:eastAsia="Arial" w:hAnsi="Arial" w:cs="Arial"/>
          <w:i/>
          <w:sz w:val="24"/>
          <w:szCs w:val="24"/>
        </w:rPr>
      </w:pPr>
    </w:p>
    <w:p w:rsidR="001D157C" w:rsidRPr="001D157C" w:rsidRDefault="001D157C" w:rsidP="001D157C">
      <w:pPr>
        <w:spacing w:after="14" w:line="249" w:lineRule="auto"/>
        <w:ind w:right="77"/>
        <w:jc w:val="both"/>
        <w:rPr>
          <w:rFonts w:ascii="Arial" w:eastAsia="Arial" w:hAnsi="Arial" w:cs="Arial"/>
          <w:i/>
          <w:sz w:val="24"/>
          <w:szCs w:val="24"/>
        </w:rPr>
      </w:pPr>
      <w:r w:rsidRPr="001D157C">
        <w:rPr>
          <w:rFonts w:ascii="Arial" w:eastAsia="Arial" w:hAnsi="Arial" w:cs="Arial"/>
          <w:i/>
          <w:noProof/>
          <w:sz w:val="24"/>
          <w:szCs w:val="24"/>
        </w:rPr>
        <w:drawing>
          <wp:inline distT="0" distB="0" distL="0" distR="0" wp14:anchorId="141AC66B" wp14:editId="623AA89F">
            <wp:extent cx="5667375" cy="3248025"/>
            <wp:effectExtent l="0" t="0" r="9525" b="9525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7375" cy="3248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157C" w:rsidRDefault="001D157C" w:rsidP="001D157C">
      <w:pPr>
        <w:spacing w:after="14" w:line="249" w:lineRule="auto"/>
        <w:ind w:right="77"/>
        <w:jc w:val="both"/>
        <w:rPr>
          <w:rFonts w:ascii="Arial" w:eastAsia="Arial" w:hAnsi="Arial" w:cs="Arial"/>
          <w:b/>
          <w:i/>
          <w:sz w:val="24"/>
          <w:szCs w:val="24"/>
        </w:rPr>
      </w:pPr>
    </w:p>
    <w:p w:rsidR="001D157C" w:rsidRPr="001D157C" w:rsidRDefault="001D157C" w:rsidP="001D157C">
      <w:pPr>
        <w:spacing w:after="14" w:line="249" w:lineRule="auto"/>
        <w:ind w:right="77"/>
        <w:jc w:val="both"/>
        <w:rPr>
          <w:rFonts w:ascii="Arial" w:eastAsia="Arial" w:hAnsi="Arial" w:cs="Arial"/>
          <w:i/>
          <w:sz w:val="24"/>
          <w:szCs w:val="24"/>
        </w:rPr>
      </w:pPr>
      <w:r w:rsidRPr="001D157C">
        <w:rPr>
          <w:rFonts w:ascii="Arial" w:eastAsia="Arial" w:hAnsi="Arial" w:cs="Arial"/>
          <w:b/>
          <w:i/>
          <w:sz w:val="24"/>
          <w:szCs w:val="24"/>
        </w:rPr>
        <w:t>§ 2º</w:t>
      </w:r>
      <w:r w:rsidRPr="001D157C">
        <w:rPr>
          <w:rFonts w:ascii="Arial" w:eastAsia="Arial" w:hAnsi="Arial" w:cs="Arial"/>
          <w:i/>
          <w:sz w:val="24"/>
          <w:szCs w:val="24"/>
        </w:rPr>
        <w:t xml:space="preserve"> Os valores descritos na tabela contida no § 1º deste artigo serão cobrados por veículo ativo vinculado ao contrato para prestação de serviço de transporte especial de trabalhadores, ou veículo próprio do empregador. </w:t>
      </w:r>
    </w:p>
    <w:p w:rsidR="001D157C" w:rsidRPr="001D157C" w:rsidRDefault="001D157C" w:rsidP="001D157C">
      <w:pPr>
        <w:spacing w:after="14" w:line="249" w:lineRule="auto"/>
        <w:ind w:right="77"/>
        <w:jc w:val="both"/>
        <w:rPr>
          <w:rFonts w:ascii="Arial" w:eastAsia="Arial" w:hAnsi="Arial" w:cs="Arial"/>
          <w:i/>
          <w:sz w:val="24"/>
          <w:szCs w:val="24"/>
        </w:rPr>
      </w:pPr>
    </w:p>
    <w:p w:rsidR="001D157C" w:rsidRPr="001D157C" w:rsidRDefault="001D157C" w:rsidP="001D157C">
      <w:pPr>
        <w:spacing w:after="14" w:line="249" w:lineRule="auto"/>
        <w:ind w:right="77"/>
        <w:jc w:val="both"/>
        <w:rPr>
          <w:rFonts w:ascii="Arial" w:eastAsia="Arial" w:hAnsi="Arial" w:cs="Arial"/>
          <w:i/>
          <w:sz w:val="24"/>
          <w:szCs w:val="24"/>
        </w:rPr>
      </w:pPr>
    </w:p>
    <w:p w:rsidR="001D157C" w:rsidRPr="001D157C" w:rsidRDefault="001D157C" w:rsidP="001D157C">
      <w:pPr>
        <w:spacing w:after="14" w:line="249" w:lineRule="auto"/>
        <w:ind w:right="77"/>
        <w:jc w:val="both"/>
        <w:rPr>
          <w:rFonts w:ascii="Arial" w:eastAsia="Arial" w:hAnsi="Arial" w:cs="Arial"/>
          <w:i/>
          <w:sz w:val="24"/>
          <w:szCs w:val="24"/>
        </w:rPr>
      </w:pPr>
      <w:r w:rsidRPr="001D157C">
        <w:rPr>
          <w:rFonts w:ascii="Arial" w:eastAsia="Arial" w:hAnsi="Arial" w:cs="Arial"/>
          <w:b/>
          <w:i/>
          <w:sz w:val="24"/>
          <w:szCs w:val="24"/>
        </w:rPr>
        <w:lastRenderedPageBreak/>
        <w:t>§ 3º</w:t>
      </w:r>
      <w:r w:rsidRPr="001D157C">
        <w:rPr>
          <w:rFonts w:ascii="Arial" w:eastAsia="Arial" w:hAnsi="Arial" w:cs="Arial"/>
          <w:i/>
          <w:sz w:val="24"/>
          <w:szCs w:val="24"/>
        </w:rPr>
        <w:t xml:space="preserve"> No primeiro mês de cadastro do veículo, será cobrado um valor proporcional ao número de dias em que tenha sido efetivamente cadastrado no transporte especial de trabalhadores.</w:t>
      </w:r>
    </w:p>
    <w:p w:rsidR="001D157C" w:rsidRPr="001D157C" w:rsidRDefault="001D157C" w:rsidP="001D157C">
      <w:pPr>
        <w:spacing w:after="14" w:line="249" w:lineRule="auto"/>
        <w:ind w:right="77"/>
        <w:jc w:val="both"/>
        <w:rPr>
          <w:rFonts w:ascii="Arial" w:eastAsia="Arial" w:hAnsi="Arial" w:cs="Arial"/>
          <w:i/>
          <w:sz w:val="24"/>
          <w:szCs w:val="24"/>
        </w:rPr>
      </w:pPr>
    </w:p>
    <w:p w:rsidR="001D157C" w:rsidRPr="001D157C" w:rsidRDefault="001D157C" w:rsidP="001D157C">
      <w:pPr>
        <w:spacing w:after="14" w:line="249" w:lineRule="auto"/>
        <w:ind w:right="77"/>
        <w:jc w:val="both"/>
        <w:rPr>
          <w:rFonts w:ascii="Arial" w:eastAsia="Arial" w:hAnsi="Arial" w:cs="Arial"/>
          <w:i/>
          <w:sz w:val="24"/>
          <w:szCs w:val="24"/>
        </w:rPr>
      </w:pPr>
      <w:r w:rsidRPr="001D157C">
        <w:rPr>
          <w:rFonts w:ascii="Arial" w:eastAsia="Arial" w:hAnsi="Arial" w:cs="Arial"/>
          <w:b/>
          <w:i/>
          <w:sz w:val="24"/>
          <w:szCs w:val="24"/>
        </w:rPr>
        <w:t>§ 4º</w:t>
      </w:r>
      <w:r w:rsidRPr="001D157C">
        <w:rPr>
          <w:rFonts w:ascii="Arial" w:eastAsia="Arial" w:hAnsi="Arial" w:cs="Arial"/>
          <w:i/>
          <w:sz w:val="24"/>
          <w:szCs w:val="24"/>
        </w:rPr>
        <w:t xml:space="preserve"> Os valores referidos no § 1º deste artigo têm como base o ano de referência e o valor vigente da VRTE – Valor de Referência do Tesouro Estadual, ou outro índice de correção que vier a ser determinado por força de lei ou decisão do Governo Federal em novas regras econômicas, e serão fixados por meio de Instrução de Serviço específica a ser baixada pela SETRANS.</w:t>
      </w:r>
    </w:p>
    <w:p w:rsidR="001D157C" w:rsidRPr="001D157C" w:rsidRDefault="001D157C" w:rsidP="001D157C">
      <w:pPr>
        <w:spacing w:after="14" w:line="249" w:lineRule="auto"/>
        <w:ind w:right="77"/>
        <w:jc w:val="both"/>
        <w:rPr>
          <w:rFonts w:ascii="Arial" w:eastAsia="Arial" w:hAnsi="Arial" w:cs="Arial"/>
          <w:i/>
          <w:sz w:val="24"/>
          <w:szCs w:val="24"/>
        </w:rPr>
      </w:pPr>
    </w:p>
    <w:p w:rsidR="00CA14F4" w:rsidRPr="001D157C" w:rsidRDefault="001D157C" w:rsidP="001D157C">
      <w:pPr>
        <w:spacing w:after="14" w:line="249" w:lineRule="auto"/>
        <w:ind w:right="77"/>
        <w:jc w:val="both"/>
        <w:rPr>
          <w:rFonts w:ascii="Arial" w:eastAsia="Arial" w:hAnsi="Arial" w:cs="Arial"/>
          <w:i/>
          <w:sz w:val="24"/>
          <w:szCs w:val="24"/>
        </w:rPr>
      </w:pPr>
      <w:r w:rsidRPr="001D157C">
        <w:rPr>
          <w:rFonts w:ascii="Arial" w:eastAsia="Arial" w:hAnsi="Arial" w:cs="Arial"/>
          <w:b/>
          <w:i/>
          <w:sz w:val="24"/>
          <w:szCs w:val="24"/>
        </w:rPr>
        <w:t>§ 5º</w:t>
      </w:r>
      <w:r w:rsidRPr="001D157C">
        <w:rPr>
          <w:rFonts w:ascii="Arial" w:eastAsia="Arial" w:hAnsi="Arial" w:cs="Arial"/>
          <w:i/>
          <w:sz w:val="24"/>
          <w:szCs w:val="24"/>
        </w:rPr>
        <w:t xml:space="preserve"> O recolhimento do valor do gerenciamento após o prazo determinado no "caput" deste artigo será acrescido de juros de 1% (um por cento) ao mês e multa de 2% (dois por cento), calculada entre a data do vencimento e a do efetivo pagamento</w:t>
      </w:r>
      <w:r w:rsidR="002A6272" w:rsidRPr="001D157C">
        <w:rPr>
          <w:rFonts w:ascii="Arial" w:eastAsia="Arial" w:hAnsi="Arial" w:cs="Arial"/>
          <w:i/>
          <w:sz w:val="24"/>
          <w:szCs w:val="24"/>
        </w:rPr>
        <w:t>.</w:t>
      </w:r>
      <w:r w:rsidR="006346EC" w:rsidRPr="001D157C">
        <w:rPr>
          <w:rFonts w:ascii="Arial" w:eastAsia="Arial" w:hAnsi="Arial" w:cs="Arial"/>
          <w:sz w:val="24"/>
          <w:szCs w:val="24"/>
        </w:rPr>
        <w:t>”</w:t>
      </w:r>
    </w:p>
    <w:bookmarkEnd w:id="0"/>
    <w:p w:rsidR="0008403B" w:rsidRDefault="0008403B" w:rsidP="00515E0A">
      <w:pPr>
        <w:suppressAutoHyphens/>
        <w:spacing w:after="0" w:line="240" w:lineRule="auto"/>
        <w:jc w:val="center"/>
        <w:rPr>
          <w:rFonts w:ascii="Arial" w:eastAsia="Arial" w:hAnsi="Arial" w:cs="Arial"/>
          <w:b/>
          <w:sz w:val="24"/>
          <w:szCs w:val="24"/>
        </w:rPr>
      </w:pPr>
    </w:p>
    <w:p w:rsidR="000A2D7F" w:rsidRDefault="000A2D7F" w:rsidP="00515E0A">
      <w:pPr>
        <w:suppressAutoHyphens/>
        <w:spacing w:after="0" w:line="240" w:lineRule="auto"/>
        <w:jc w:val="center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JUSTIFICATIVA</w:t>
      </w:r>
    </w:p>
    <w:p w:rsidR="00CC5E56" w:rsidRDefault="00CC5E56" w:rsidP="00515E0A">
      <w:pPr>
        <w:suppressAutoHyphens/>
        <w:spacing w:after="0"/>
        <w:jc w:val="both"/>
        <w:rPr>
          <w:rFonts w:ascii="Arial" w:eastAsia="Arial" w:hAnsi="Arial" w:cs="Arial"/>
          <w:sz w:val="24"/>
          <w:szCs w:val="24"/>
        </w:rPr>
      </w:pPr>
    </w:p>
    <w:p w:rsidR="000A2D7F" w:rsidRDefault="00EA4D15" w:rsidP="00920EBE">
      <w:pPr>
        <w:suppressAutoHyphens/>
        <w:spacing w:after="0"/>
        <w:jc w:val="both"/>
        <w:rPr>
          <w:rFonts w:ascii="Arial" w:eastAsia="Arial" w:hAnsi="Arial" w:cs="Arial"/>
          <w:sz w:val="24"/>
          <w:szCs w:val="24"/>
        </w:rPr>
      </w:pPr>
      <w:r w:rsidRPr="00EA4D15">
        <w:rPr>
          <w:rFonts w:ascii="Arial" w:eastAsia="Arial" w:hAnsi="Arial" w:cs="Arial"/>
          <w:sz w:val="24"/>
          <w:szCs w:val="24"/>
        </w:rPr>
        <w:t>A legislação citada pelo dispositivo diz respeito a Lei Estadual que trata do Sistema de Transportes Urbanos da Aglomeração Urbana da Grande Vitória</w:t>
      </w:r>
      <w:r>
        <w:rPr>
          <w:rFonts w:ascii="Arial" w:eastAsia="Arial" w:hAnsi="Arial" w:cs="Arial"/>
          <w:sz w:val="24"/>
          <w:szCs w:val="24"/>
        </w:rPr>
        <w:t xml:space="preserve">. </w:t>
      </w:r>
    </w:p>
    <w:p w:rsidR="00EA4D15" w:rsidRDefault="00EA4D15" w:rsidP="00920EBE">
      <w:pPr>
        <w:suppressAutoHyphens/>
        <w:spacing w:after="0"/>
        <w:jc w:val="both"/>
        <w:rPr>
          <w:rFonts w:ascii="Arial" w:eastAsia="Arial" w:hAnsi="Arial" w:cs="Arial"/>
          <w:sz w:val="24"/>
          <w:szCs w:val="24"/>
        </w:rPr>
      </w:pPr>
    </w:p>
    <w:p w:rsidR="00EA4D15" w:rsidRDefault="00EA4D15" w:rsidP="00920EBE">
      <w:pPr>
        <w:suppressAutoHyphens/>
        <w:spacing w:after="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A instituição de taxa pelo serviço de gerenciamento do transporte municipal induz a crer que atualmente não</w:t>
      </w:r>
      <w:r w:rsidR="001D157C">
        <w:rPr>
          <w:rFonts w:ascii="Arial" w:eastAsia="Arial" w:hAnsi="Arial" w:cs="Arial"/>
          <w:sz w:val="24"/>
          <w:szCs w:val="24"/>
        </w:rPr>
        <w:t xml:space="preserve"> existe </w:t>
      </w:r>
      <w:r>
        <w:rPr>
          <w:rFonts w:ascii="Arial" w:eastAsia="Arial" w:hAnsi="Arial" w:cs="Arial"/>
          <w:sz w:val="24"/>
          <w:szCs w:val="24"/>
        </w:rPr>
        <w:t>referido serviço. Desta forma, deveria o Poder Executivo Municipal ter instruído a proposta com a estimativa do impacto orçamentário da proposta nos termos dos Artigos 15, 16 e 17 da Lei de Responsabilidade Fiscal</w:t>
      </w:r>
      <w:r w:rsidR="001D157C">
        <w:rPr>
          <w:rFonts w:ascii="Arial" w:eastAsia="Arial" w:hAnsi="Arial" w:cs="Arial"/>
          <w:sz w:val="24"/>
          <w:szCs w:val="24"/>
        </w:rPr>
        <w:t xml:space="preserve"> – LC 101/2000</w:t>
      </w:r>
      <w:r>
        <w:rPr>
          <w:rFonts w:ascii="Arial" w:eastAsia="Arial" w:hAnsi="Arial" w:cs="Arial"/>
          <w:sz w:val="24"/>
          <w:szCs w:val="24"/>
        </w:rPr>
        <w:t>.</w:t>
      </w:r>
    </w:p>
    <w:p w:rsidR="000A2D7F" w:rsidRPr="00EA4D15" w:rsidRDefault="000A2D7F" w:rsidP="00515E0A">
      <w:pPr>
        <w:suppressAutoHyphens/>
        <w:spacing w:after="0" w:line="240" w:lineRule="auto"/>
        <w:jc w:val="center"/>
        <w:rPr>
          <w:rFonts w:ascii="Arial" w:eastAsia="Arial" w:hAnsi="Arial" w:cs="Arial"/>
          <w:i/>
          <w:sz w:val="24"/>
          <w:szCs w:val="24"/>
        </w:rPr>
      </w:pPr>
    </w:p>
    <w:p w:rsidR="00D41A49" w:rsidRPr="00CC1B8E" w:rsidRDefault="00D41A49" w:rsidP="00515E0A">
      <w:pPr>
        <w:suppressAutoHyphens/>
        <w:spacing w:after="0" w:line="240" w:lineRule="auto"/>
        <w:jc w:val="both"/>
        <w:rPr>
          <w:rFonts w:ascii="Arial" w:eastAsia="Arial" w:hAnsi="Arial" w:cs="Arial"/>
          <w:sz w:val="24"/>
          <w:szCs w:val="24"/>
        </w:rPr>
      </w:pPr>
    </w:p>
    <w:p w:rsidR="00D41A49" w:rsidRPr="00B8299B" w:rsidRDefault="00D41A49" w:rsidP="00515E0A">
      <w:pPr>
        <w:suppressAutoHyphens/>
        <w:spacing w:after="0" w:line="240" w:lineRule="auto"/>
        <w:jc w:val="center"/>
        <w:rPr>
          <w:rFonts w:ascii="Arial" w:eastAsia="Arial" w:hAnsi="Arial" w:cs="Arial"/>
          <w:sz w:val="24"/>
          <w:szCs w:val="24"/>
        </w:rPr>
      </w:pPr>
      <w:r w:rsidRPr="00B8299B">
        <w:rPr>
          <w:rFonts w:ascii="Arial" w:eastAsia="Arial" w:hAnsi="Arial" w:cs="Arial"/>
          <w:sz w:val="24"/>
          <w:szCs w:val="24"/>
        </w:rPr>
        <w:t>Aracruz</w:t>
      </w:r>
      <w:r w:rsidR="00461120">
        <w:rPr>
          <w:rFonts w:ascii="Arial" w:eastAsia="Arial" w:hAnsi="Arial" w:cs="Arial"/>
          <w:sz w:val="24"/>
          <w:szCs w:val="24"/>
        </w:rPr>
        <w:t xml:space="preserve"> – </w:t>
      </w:r>
      <w:r w:rsidRPr="00B8299B">
        <w:rPr>
          <w:rFonts w:ascii="Arial" w:eastAsia="Arial" w:hAnsi="Arial" w:cs="Arial"/>
          <w:sz w:val="24"/>
          <w:szCs w:val="24"/>
        </w:rPr>
        <w:t>ES</w:t>
      </w:r>
      <w:r w:rsidR="00461120">
        <w:rPr>
          <w:rFonts w:ascii="Arial" w:eastAsia="Arial" w:hAnsi="Arial" w:cs="Arial"/>
          <w:sz w:val="24"/>
          <w:szCs w:val="24"/>
        </w:rPr>
        <w:t>,</w:t>
      </w:r>
      <w:r w:rsidR="004964E6">
        <w:rPr>
          <w:rFonts w:ascii="Arial" w:eastAsia="Arial" w:hAnsi="Arial" w:cs="Arial"/>
          <w:sz w:val="24"/>
          <w:szCs w:val="24"/>
        </w:rPr>
        <w:t xml:space="preserve"> 18 </w:t>
      </w:r>
      <w:r w:rsidR="000A2D7F">
        <w:rPr>
          <w:rFonts w:ascii="Arial" w:eastAsia="Arial" w:hAnsi="Arial" w:cs="Arial"/>
          <w:sz w:val="24"/>
          <w:szCs w:val="24"/>
        </w:rPr>
        <w:t xml:space="preserve">de </w:t>
      </w:r>
      <w:r w:rsidR="004964E6">
        <w:rPr>
          <w:rFonts w:ascii="Arial" w:eastAsia="Arial" w:hAnsi="Arial" w:cs="Arial"/>
          <w:sz w:val="24"/>
          <w:szCs w:val="24"/>
        </w:rPr>
        <w:t>junho</w:t>
      </w:r>
      <w:r w:rsidRPr="00B8299B">
        <w:rPr>
          <w:rFonts w:ascii="Arial" w:eastAsia="Arial" w:hAnsi="Arial" w:cs="Arial"/>
          <w:sz w:val="24"/>
          <w:szCs w:val="24"/>
        </w:rPr>
        <w:t xml:space="preserve"> de 201</w:t>
      </w:r>
      <w:r w:rsidR="000A2D7F">
        <w:rPr>
          <w:rFonts w:ascii="Arial" w:eastAsia="Arial" w:hAnsi="Arial" w:cs="Arial"/>
          <w:sz w:val="24"/>
          <w:szCs w:val="24"/>
        </w:rPr>
        <w:t>9</w:t>
      </w:r>
      <w:r w:rsidRPr="00B8299B">
        <w:rPr>
          <w:rFonts w:ascii="Arial" w:eastAsia="Arial" w:hAnsi="Arial" w:cs="Arial"/>
          <w:sz w:val="24"/>
          <w:szCs w:val="24"/>
        </w:rPr>
        <w:t>.</w:t>
      </w:r>
    </w:p>
    <w:p w:rsidR="00D41A49" w:rsidRPr="00B8299B" w:rsidRDefault="00D41A49" w:rsidP="00515E0A">
      <w:pPr>
        <w:suppressAutoHyphens/>
        <w:spacing w:after="0" w:line="240" w:lineRule="auto"/>
        <w:jc w:val="both"/>
        <w:rPr>
          <w:rFonts w:ascii="Arial" w:eastAsia="Arial" w:hAnsi="Arial" w:cs="Arial"/>
          <w:sz w:val="24"/>
          <w:szCs w:val="24"/>
        </w:rPr>
      </w:pPr>
    </w:p>
    <w:p w:rsidR="00D41A49" w:rsidRPr="00B8299B" w:rsidRDefault="00D41A49" w:rsidP="00515E0A">
      <w:pPr>
        <w:suppressAutoHyphens/>
        <w:spacing w:after="0" w:line="240" w:lineRule="auto"/>
        <w:jc w:val="both"/>
        <w:rPr>
          <w:rFonts w:ascii="Arial" w:eastAsia="Arial" w:hAnsi="Arial" w:cs="Arial"/>
          <w:sz w:val="24"/>
          <w:szCs w:val="24"/>
        </w:rPr>
      </w:pPr>
    </w:p>
    <w:p w:rsidR="00D41A49" w:rsidRPr="00B8299B" w:rsidRDefault="00D41A49" w:rsidP="00515E0A">
      <w:pPr>
        <w:suppressAutoHyphens/>
        <w:spacing w:after="0" w:line="240" w:lineRule="auto"/>
        <w:jc w:val="both"/>
        <w:rPr>
          <w:rFonts w:ascii="Arial" w:eastAsia="Arial" w:hAnsi="Arial" w:cs="Arial"/>
          <w:sz w:val="24"/>
          <w:szCs w:val="24"/>
        </w:rPr>
      </w:pPr>
    </w:p>
    <w:p w:rsidR="00D41A49" w:rsidRPr="00B8299B" w:rsidRDefault="00D41A49" w:rsidP="00515E0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41A49" w:rsidRPr="00B8299B" w:rsidRDefault="00D41A49" w:rsidP="00515E0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41A49" w:rsidRPr="00B8299B" w:rsidRDefault="00D41A49" w:rsidP="00515E0A">
      <w:pPr>
        <w:suppressAutoHyphens/>
        <w:spacing w:after="0" w:line="240" w:lineRule="auto"/>
        <w:rPr>
          <w:rFonts w:ascii="Arial" w:eastAsia="Arial" w:hAnsi="Arial" w:cs="Arial"/>
          <w:b/>
          <w:sz w:val="24"/>
          <w:szCs w:val="24"/>
        </w:rPr>
      </w:pPr>
    </w:p>
    <w:p w:rsidR="00D41A49" w:rsidRDefault="000A2D7F" w:rsidP="00515E0A">
      <w:pPr>
        <w:suppressAutoHyphens/>
        <w:spacing w:after="0" w:line="240" w:lineRule="auto"/>
        <w:jc w:val="center"/>
        <w:rPr>
          <w:rFonts w:ascii="Arial" w:eastAsia="Arial" w:hAnsi="Arial" w:cs="Arial"/>
          <w:b/>
          <w:sz w:val="24"/>
          <w:szCs w:val="24"/>
        </w:rPr>
      </w:pPr>
      <w:r w:rsidRPr="00B8299B">
        <w:rPr>
          <w:rFonts w:ascii="Arial" w:eastAsia="Arial" w:hAnsi="Arial" w:cs="Arial"/>
          <w:b/>
          <w:sz w:val="24"/>
          <w:szCs w:val="24"/>
        </w:rPr>
        <w:t>FÁBIO NETTO DA SILVA</w:t>
      </w:r>
    </w:p>
    <w:p w:rsidR="00D41A49" w:rsidRDefault="000A2D7F" w:rsidP="00515E0A">
      <w:pPr>
        <w:suppressAutoHyphens/>
        <w:spacing w:after="0" w:line="240" w:lineRule="auto"/>
        <w:jc w:val="center"/>
        <w:rPr>
          <w:rFonts w:ascii="Arial" w:eastAsia="Arial" w:hAnsi="Arial" w:cs="Arial"/>
          <w:b/>
          <w:sz w:val="24"/>
          <w:szCs w:val="24"/>
        </w:rPr>
      </w:pPr>
      <w:r w:rsidRPr="00B8299B">
        <w:rPr>
          <w:rFonts w:ascii="Arial" w:eastAsia="Arial" w:hAnsi="Arial" w:cs="Arial"/>
          <w:b/>
          <w:sz w:val="24"/>
          <w:szCs w:val="24"/>
        </w:rPr>
        <w:t xml:space="preserve">VEREADOR </w:t>
      </w:r>
    </w:p>
    <w:p w:rsidR="00DB77A6" w:rsidRDefault="00DB77A6" w:rsidP="00515E0A">
      <w:pPr>
        <w:suppressAutoHyphens/>
        <w:spacing w:after="0" w:line="240" w:lineRule="auto"/>
        <w:jc w:val="center"/>
        <w:rPr>
          <w:rFonts w:ascii="Arial" w:eastAsia="Arial" w:hAnsi="Arial" w:cs="Arial"/>
          <w:b/>
          <w:sz w:val="24"/>
          <w:szCs w:val="24"/>
        </w:rPr>
      </w:pPr>
    </w:p>
    <w:p w:rsidR="00DB77A6" w:rsidRDefault="00DB77A6" w:rsidP="00515E0A">
      <w:pPr>
        <w:suppressAutoHyphens/>
        <w:spacing w:after="0" w:line="240" w:lineRule="auto"/>
        <w:jc w:val="center"/>
        <w:rPr>
          <w:rFonts w:ascii="Arial" w:eastAsia="Arial" w:hAnsi="Arial" w:cs="Arial"/>
          <w:b/>
          <w:sz w:val="24"/>
          <w:szCs w:val="24"/>
        </w:rPr>
      </w:pPr>
    </w:p>
    <w:p w:rsidR="00DB77A6" w:rsidRDefault="00DB77A6" w:rsidP="00515E0A">
      <w:pPr>
        <w:suppressAutoHyphens/>
        <w:spacing w:after="0" w:line="240" w:lineRule="auto"/>
        <w:jc w:val="center"/>
        <w:rPr>
          <w:rFonts w:ascii="Arial" w:eastAsia="Arial" w:hAnsi="Arial" w:cs="Arial"/>
          <w:b/>
          <w:sz w:val="24"/>
          <w:szCs w:val="24"/>
        </w:rPr>
      </w:pPr>
    </w:p>
    <w:p w:rsidR="00DB77A6" w:rsidRDefault="00DB77A6" w:rsidP="00904CC1">
      <w:pPr>
        <w:suppressAutoHyphens/>
        <w:spacing w:after="0" w:line="240" w:lineRule="auto"/>
        <w:ind w:left="-284"/>
        <w:jc w:val="center"/>
        <w:rPr>
          <w:rFonts w:ascii="Arial" w:eastAsia="Arial" w:hAnsi="Arial" w:cs="Arial"/>
          <w:b/>
          <w:sz w:val="24"/>
          <w:szCs w:val="24"/>
        </w:rPr>
      </w:pPr>
    </w:p>
    <w:p w:rsidR="00DB77A6" w:rsidRDefault="00DB77A6" w:rsidP="00904CC1">
      <w:pPr>
        <w:suppressAutoHyphens/>
        <w:spacing w:after="0" w:line="240" w:lineRule="auto"/>
        <w:ind w:left="-284"/>
        <w:jc w:val="center"/>
        <w:rPr>
          <w:rFonts w:ascii="Arial" w:eastAsia="Arial" w:hAnsi="Arial" w:cs="Arial"/>
          <w:b/>
          <w:sz w:val="24"/>
          <w:szCs w:val="24"/>
        </w:rPr>
      </w:pPr>
    </w:p>
    <w:p w:rsidR="00DB77A6" w:rsidRDefault="00DB77A6" w:rsidP="00904CC1">
      <w:pPr>
        <w:suppressAutoHyphens/>
        <w:spacing w:after="0" w:line="240" w:lineRule="auto"/>
        <w:ind w:left="-284"/>
        <w:jc w:val="center"/>
        <w:rPr>
          <w:rFonts w:ascii="Arial" w:eastAsia="Arial" w:hAnsi="Arial" w:cs="Arial"/>
          <w:b/>
          <w:sz w:val="24"/>
          <w:szCs w:val="24"/>
        </w:rPr>
      </w:pPr>
    </w:p>
    <w:p w:rsidR="00DB77A6" w:rsidRDefault="00DB77A6" w:rsidP="00904CC1">
      <w:pPr>
        <w:suppressAutoHyphens/>
        <w:spacing w:after="0" w:line="240" w:lineRule="auto"/>
        <w:ind w:left="-284"/>
        <w:jc w:val="center"/>
        <w:rPr>
          <w:rFonts w:ascii="Arial" w:eastAsia="Arial" w:hAnsi="Arial" w:cs="Arial"/>
          <w:b/>
          <w:sz w:val="24"/>
          <w:szCs w:val="24"/>
        </w:rPr>
      </w:pPr>
    </w:p>
    <w:p w:rsidR="00DB77A6" w:rsidRDefault="00DB77A6" w:rsidP="00904CC1">
      <w:pPr>
        <w:suppressAutoHyphens/>
        <w:spacing w:after="0" w:line="240" w:lineRule="auto"/>
        <w:ind w:left="-284"/>
        <w:jc w:val="center"/>
        <w:rPr>
          <w:rFonts w:ascii="Arial" w:eastAsia="Arial" w:hAnsi="Arial" w:cs="Arial"/>
          <w:b/>
          <w:sz w:val="24"/>
          <w:szCs w:val="24"/>
        </w:rPr>
      </w:pPr>
    </w:p>
    <w:p w:rsidR="00DB77A6" w:rsidRDefault="00DB77A6" w:rsidP="00904CC1">
      <w:pPr>
        <w:suppressAutoHyphens/>
        <w:spacing w:after="0" w:line="240" w:lineRule="auto"/>
        <w:ind w:left="-284"/>
        <w:jc w:val="center"/>
        <w:rPr>
          <w:rFonts w:ascii="Arial" w:eastAsia="Arial" w:hAnsi="Arial" w:cs="Arial"/>
          <w:b/>
          <w:sz w:val="24"/>
          <w:szCs w:val="24"/>
        </w:rPr>
      </w:pPr>
    </w:p>
    <w:p w:rsidR="00DB77A6" w:rsidRDefault="00DB77A6" w:rsidP="00904CC1">
      <w:pPr>
        <w:suppressAutoHyphens/>
        <w:spacing w:after="0" w:line="240" w:lineRule="auto"/>
        <w:ind w:left="-284"/>
        <w:jc w:val="center"/>
        <w:rPr>
          <w:rFonts w:ascii="Arial" w:eastAsia="Arial" w:hAnsi="Arial" w:cs="Arial"/>
          <w:b/>
          <w:sz w:val="24"/>
          <w:szCs w:val="24"/>
        </w:rPr>
      </w:pPr>
    </w:p>
    <w:p w:rsidR="00DB77A6" w:rsidRDefault="00DB77A6" w:rsidP="00904CC1">
      <w:pPr>
        <w:suppressAutoHyphens/>
        <w:spacing w:after="0" w:line="240" w:lineRule="auto"/>
        <w:ind w:left="-284"/>
        <w:jc w:val="center"/>
        <w:rPr>
          <w:rFonts w:ascii="Arial" w:eastAsia="Arial" w:hAnsi="Arial" w:cs="Arial"/>
          <w:b/>
          <w:sz w:val="24"/>
          <w:szCs w:val="24"/>
        </w:rPr>
      </w:pPr>
    </w:p>
    <w:sectPr w:rsidR="00DB77A6" w:rsidSect="000A2D7F">
      <w:headerReference w:type="default" r:id="rId9"/>
      <w:pgSz w:w="11906" w:h="16838"/>
      <w:pgMar w:top="1417" w:right="1274" w:bottom="1417" w:left="1701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15B8C" w:rsidRDefault="00E15B8C" w:rsidP="007F57FE">
      <w:pPr>
        <w:spacing w:after="0" w:line="240" w:lineRule="auto"/>
      </w:pPr>
      <w:r>
        <w:separator/>
      </w:r>
    </w:p>
  </w:endnote>
  <w:endnote w:type="continuationSeparator" w:id="0">
    <w:p w:rsidR="00E15B8C" w:rsidRDefault="00E15B8C" w:rsidP="007F57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dwardian Script ITC">
    <w:altName w:val="Kunstler Script"/>
    <w:panose1 w:val="030303020407070D08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15B8C" w:rsidRDefault="00E15B8C" w:rsidP="007F57FE">
      <w:pPr>
        <w:spacing w:after="0" w:line="240" w:lineRule="auto"/>
      </w:pPr>
      <w:r>
        <w:separator/>
      </w:r>
    </w:p>
  </w:footnote>
  <w:footnote w:type="continuationSeparator" w:id="0">
    <w:p w:rsidR="00E15B8C" w:rsidRDefault="00E15B8C" w:rsidP="007F57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759EA" w:rsidRDefault="002759EA">
    <w:pPr>
      <w:pStyle w:val="Cabealho"/>
    </w:pPr>
  </w:p>
  <w:p w:rsidR="002759EA" w:rsidRDefault="000A2D7F" w:rsidP="007F57FE">
    <w:pPr>
      <w:pStyle w:val="Cabealho"/>
      <w:jc w:val="center"/>
      <w:rPr>
        <w:rFonts w:ascii="Edwardian Script ITC" w:hAnsi="Edwardian Script ITC" w:cs="Edwardian Script ITC"/>
        <w:sz w:val="66"/>
        <w:szCs w:val="66"/>
        <w:u w:val="single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547690E9" wp14:editId="63A20E0A">
          <wp:simplePos x="0" y="0"/>
          <wp:positionH relativeFrom="column">
            <wp:posOffset>-206375</wp:posOffset>
          </wp:positionH>
          <wp:positionV relativeFrom="paragraph">
            <wp:posOffset>276225</wp:posOffset>
          </wp:positionV>
          <wp:extent cx="1181735" cy="1043305"/>
          <wp:effectExtent l="0" t="0" r="0" b="4445"/>
          <wp:wrapSquare wrapText="bothSides"/>
          <wp:docPr id="9" name="Imagem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1735" cy="1043305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759EA">
      <w:rPr>
        <w:rFonts w:ascii="Edwardian Script ITC" w:hAnsi="Edwardian Script ITC" w:cs="Edwardian Script ITC"/>
        <w:sz w:val="66"/>
        <w:szCs w:val="66"/>
        <w:u w:val="single"/>
      </w:rPr>
      <w:t xml:space="preserve"> </w:t>
    </w:r>
  </w:p>
  <w:p w:rsidR="002759EA" w:rsidRDefault="002759EA" w:rsidP="007F57FE">
    <w:pPr>
      <w:pStyle w:val="Cabealho"/>
      <w:jc w:val="center"/>
      <w:rPr>
        <w:b/>
        <w:sz w:val="28"/>
        <w:szCs w:val="28"/>
      </w:rPr>
    </w:pPr>
    <w:r>
      <w:rPr>
        <w:rFonts w:ascii="Edwardian Script ITC" w:hAnsi="Edwardian Script ITC" w:cs="Edwardian Script ITC"/>
        <w:sz w:val="66"/>
        <w:szCs w:val="66"/>
        <w:u w:val="single"/>
      </w:rPr>
      <w:t>C</w:t>
    </w:r>
    <w:r>
      <w:rPr>
        <w:rFonts w:ascii="Edwardian Script ITC" w:hAnsi="Edwardian Script ITC" w:cs="Edwardian Script ITC"/>
        <w:sz w:val="72"/>
        <w:szCs w:val="72"/>
        <w:u w:val="single"/>
      </w:rPr>
      <w:t>âmara Municipal de Aracruz</w:t>
    </w:r>
  </w:p>
  <w:p w:rsidR="002759EA" w:rsidRDefault="002759EA" w:rsidP="007F57FE">
    <w:pPr>
      <w:pStyle w:val="Cabealho"/>
      <w:jc w:val="center"/>
      <w:rPr>
        <w:b/>
        <w:sz w:val="28"/>
        <w:szCs w:val="28"/>
      </w:rPr>
    </w:pPr>
  </w:p>
  <w:p w:rsidR="002759EA" w:rsidRDefault="002759EA" w:rsidP="007F57FE">
    <w:pPr>
      <w:pStyle w:val="Cabealho"/>
      <w:jc w:val="center"/>
    </w:pPr>
    <w:r>
      <w:rPr>
        <w:b/>
        <w:sz w:val="28"/>
        <w:szCs w:val="28"/>
      </w:rPr>
      <w:t>ESTADO DO ESPIRITO SANTO</w:t>
    </w:r>
  </w:p>
  <w:p w:rsidR="002759EA" w:rsidRDefault="002759EA" w:rsidP="007F57FE">
    <w:pPr>
      <w:pStyle w:val="Cabealho"/>
    </w:pPr>
  </w:p>
  <w:p w:rsidR="002759EA" w:rsidRDefault="002759EA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892D04"/>
    <w:multiLevelType w:val="hybridMultilevel"/>
    <w:tmpl w:val="65224C94"/>
    <w:lvl w:ilvl="0" w:tplc="30861082">
      <w:start w:val="1"/>
      <w:numFmt w:val="upperRoman"/>
      <w:lvlText w:val="%1"/>
      <w:lvlJc w:val="left"/>
      <w:pPr>
        <w:ind w:left="188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11111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9182298">
      <w:start w:val="1"/>
      <w:numFmt w:val="lowerLetter"/>
      <w:lvlText w:val="%2"/>
      <w:lvlJc w:val="left"/>
      <w:pPr>
        <w:ind w:left="250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11111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200E734">
      <w:start w:val="1"/>
      <w:numFmt w:val="lowerRoman"/>
      <w:lvlText w:val="%3"/>
      <w:lvlJc w:val="left"/>
      <w:pPr>
        <w:ind w:left="322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11111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7E48210">
      <w:start w:val="1"/>
      <w:numFmt w:val="decimal"/>
      <w:lvlText w:val="%4"/>
      <w:lvlJc w:val="left"/>
      <w:pPr>
        <w:ind w:left="394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11111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C72BEC2">
      <w:start w:val="1"/>
      <w:numFmt w:val="lowerLetter"/>
      <w:lvlText w:val="%5"/>
      <w:lvlJc w:val="left"/>
      <w:pPr>
        <w:ind w:left="466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11111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9782C8C">
      <w:start w:val="1"/>
      <w:numFmt w:val="lowerRoman"/>
      <w:lvlText w:val="%6"/>
      <w:lvlJc w:val="left"/>
      <w:pPr>
        <w:ind w:left="538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11111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47A2524">
      <w:start w:val="1"/>
      <w:numFmt w:val="decimal"/>
      <w:lvlText w:val="%7"/>
      <w:lvlJc w:val="left"/>
      <w:pPr>
        <w:ind w:left="610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11111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F08B4CE">
      <w:start w:val="1"/>
      <w:numFmt w:val="lowerLetter"/>
      <w:lvlText w:val="%8"/>
      <w:lvlJc w:val="left"/>
      <w:pPr>
        <w:ind w:left="682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11111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91A8614">
      <w:start w:val="1"/>
      <w:numFmt w:val="lowerRoman"/>
      <w:lvlText w:val="%9"/>
      <w:lvlJc w:val="left"/>
      <w:pPr>
        <w:ind w:left="754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11111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7CCC7929"/>
    <w:multiLevelType w:val="hybridMultilevel"/>
    <w:tmpl w:val="FD80D0D2"/>
    <w:lvl w:ilvl="0" w:tplc="C13E055C">
      <w:start w:val="1"/>
      <w:numFmt w:val="upperRoman"/>
      <w:lvlText w:val="%1"/>
      <w:lvlJc w:val="left"/>
      <w:pPr>
        <w:ind w:left="185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11111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D4CF314">
      <w:start w:val="1"/>
      <w:numFmt w:val="lowerLetter"/>
      <w:lvlText w:val="%2"/>
      <w:lvlJc w:val="left"/>
      <w:pPr>
        <w:ind w:left="249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11111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50A6A8E">
      <w:start w:val="1"/>
      <w:numFmt w:val="lowerRoman"/>
      <w:lvlText w:val="%3"/>
      <w:lvlJc w:val="left"/>
      <w:pPr>
        <w:ind w:left="321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11111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3E8B9B8">
      <w:start w:val="1"/>
      <w:numFmt w:val="decimal"/>
      <w:lvlText w:val="%4"/>
      <w:lvlJc w:val="left"/>
      <w:pPr>
        <w:ind w:left="393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11111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45ABD3C">
      <w:start w:val="1"/>
      <w:numFmt w:val="lowerLetter"/>
      <w:lvlText w:val="%5"/>
      <w:lvlJc w:val="left"/>
      <w:pPr>
        <w:ind w:left="465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11111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FEABF46">
      <w:start w:val="1"/>
      <w:numFmt w:val="lowerRoman"/>
      <w:lvlText w:val="%6"/>
      <w:lvlJc w:val="left"/>
      <w:pPr>
        <w:ind w:left="537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11111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612064E">
      <w:start w:val="1"/>
      <w:numFmt w:val="decimal"/>
      <w:lvlText w:val="%7"/>
      <w:lvlJc w:val="left"/>
      <w:pPr>
        <w:ind w:left="609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11111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640A122">
      <w:start w:val="1"/>
      <w:numFmt w:val="lowerLetter"/>
      <w:lvlText w:val="%8"/>
      <w:lvlJc w:val="left"/>
      <w:pPr>
        <w:ind w:left="681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11111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8685D6A">
      <w:start w:val="1"/>
      <w:numFmt w:val="lowerRoman"/>
      <w:lvlText w:val="%9"/>
      <w:lvlJc w:val="left"/>
      <w:pPr>
        <w:ind w:left="753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11111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57FE"/>
    <w:rsid w:val="00005A2A"/>
    <w:rsid w:val="00067EE0"/>
    <w:rsid w:val="00080E00"/>
    <w:rsid w:val="0008403B"/>
    <w:rsid w:val="00084061"/>
    <w:rsid w:val="00086F6C"/>
    <w:rsid w:val="000A23B2"/>
    <w:rsid w:val="000A2700"/>
    <w:rsid w:val="000A2D7F"/>
    <w:rsid w:val="000C3F68"/>
    <w:rsid w:val="001053ED"/>
    <w:rsid w:val="00135E67"/>
    <w:rsid w:val="001435C5"/>
    <w:rsid w:val="0014423A"/>
    <w:rsid w:val="00154F63"/>
    <w:rsid w:val="001809BC"/>
    <w:rsid w:val="001D157C"/>
    <w:rsid w:val="00222587"/>
    <w:rsid w:val="00222BEB"/>
    <w:rsid w:val="00223283"/>
    <w:rsid w:val="00225AB0"/>
    <w:rsid w:val="002425A2"/>
    <w:rsid w:val="00251AAC"/>
    <w:rsid w:val="00267F9B"/>
    <w:rsid w:val="002759EA"/>
    <w:rsid w:val="00287D43"/>
    <w:rsid w:val="002A6272"/>
    <w:rsid w:val="002F5971"/>
    <w:rsid w:val="0039271D"/>
    <w:rsid w:val="003A559D"/>
    <w:rsid w:val="003C4787"/>
    <w:rsid w:val="003D0D79"/>
    <w:rsid w:val="003E3AE8"/>
    <w:rsid w:val="003F2849"/>
    <w:rsid w:val="00430EEB"/>
    <w:rsid w:val="00461120"/>
    <w:rsid w:val="004802B2"/>
    <w:rsid w:val="00482E0F"/>
    <w:rsid w:val="004964E6"/>
    <w:rsid w:val="004B0944"/>
    <w:rsid w:val="004C780E"/>
    <w:rsid w:val="0051134A"/>
    <w:rsid w:val="00514991"/>
    <w:rsid w:val="00515E0A"/>
    <w:rsid w:val="00525270"/>
    <w:rsid w:val="00534618"/>
    <w:rsid w:val="00546487"/>
    <w:rsid w:val="00556D4B"/>
    <w:rsid w:val="005B4D4B"/>
    <w:rsid w:val="005B6944"/>
    <w:rsid w:val="005C2196"/>
    <w:rsid w:val="005D303D"/>
    <w:rsid w:val="005E0367"/>
    <w:rsid w:val="005E6B64"/>
    <w:rsid w:val="005F0453"/>
    <w:rsid w:val="005F2E86"/>
    <w:rsid w:val="00610589"/>
    <w:rsid w:val="006205B9"/>
    <w:rsid w:val="006232BB"/>
    <w:rsid w:val="006346EC"/>
    <w:rsid w:val="00641664"/>
    <w:rsid w:val="006C1E5F"/>
    <w:rsid w:val="007015C8"/>
    <w:rsid w:val="00711183"/>
    <w:rsid w:val="007258F5"/>
    <w:rsid w:val="00740C75"/>
    <w:rsid w:val="007502C1"/>
    <w:rsid w:val="007770A8"/>
    <w:rsid w:val="00791FDA"/>
    <w:rsid w:val="007969CF"/>
    <w:rsid w:val="007B1E77"/>
    <w:rsid w:val="007B2F12"/>
    <w:rsid w:val="007B406F"/>
    <w:rsid w:val="007E0D2C"/>
    <w:rsid w:val="007F1297"/>
    <w:rsid w:val="007F57FE"/>
    <w:rsid w:val="0081197E"/>
    <w:rsid w:val="0081221F"/>
    <w:rsid w:val="00825DF3"/>
    <w:rsid w:val="00831BF6"/>
    <w:rsid w:val="008450C8"/>
    <w:rsid w:val="0084610B"/>
    <w:rsid w:val="0086466A"/>
    <w:rsid w:val="008A7061"/>
    <w:rsid w:val="008B096F"/>
    <w:rsid w:val="008C1D6E"/>
    <w:rsid w:val="008E5258"/>
    <w:rsid w:val="00902674"/>
    <w:rsid w:val="00904CC1"/>
    <w:rsid w:val="009119D3"/>
    <w:rsid w:val="009122A2"/>
    <w:rsid w:val="009148F5"/>
    <w:rsid w:val="00915771"/>
    <w:rsid w:val="00920EBE"/>
    <w:rsid w:val="00954642"/>
    <w:rsid w:val="009C757E"/>
    <w:rsid w:val="00A02D44"/>
    <w:rsid w:val="00A0328E"/>
    <w:rsid w:val="00A25A57"/>
    <w:rsid w:val="00A26CB2"/>
    <w:rsid w:val="00A31911"/>
    <w:rsid w:val="00A42837"/>
    <w:rsid w:val="00A513AB"/>
    <w:rsid w:val="00A61925"/>
    <w:rsid w:val="00A74197"/>
    <w:rsid w:val="00A877F6"/>
    <w:rsid w:val="00AA513B"/>
    <w:rsid w:val="00AC35D4"/>
    <w:rsid w:val="00AC6832"/>
    <w:rsid w:val="00AE649C"/>
    <w:rsid w:val="00AF04A1"/>
    <w:rsid w:val="00AF069E"/>
    <w:rsid w:val="00AF0DDD"/>
    <w:rsid w:val="00B114C8"/>
    <w:rsid w:val="00B20366"/>
    <w:rsid w:val="00B413F9"/>
    <w:rsid w:val="00B8299B"/>
    <w:rsid w:val="00BB334C"/>
    <w:rsid w:val="00BC2F5D"/>
    <w:rsid w:val="00BD4500"/>
    <w:rsid w:val="00BE099E"/>
    <w:rsid w:val="00C11057"/>
    <w:rsid w:val="00C20E6C"/>
    <w:rsid w:val="00C4182B"/>
    <w:rsid w:val="00C41C2E"/>
    <w:rsid w:val="00C6484A"/>
    <w:rsid w:val="00C6486F"/>
    <w:rsid w:val="00C71DBD"/>
    <w:rsid w:val="00C73903"/>
    <w:rsid w:val="00CA14F4"/>
    <w:rsid w:val="00CA6412"/>
    <w:rsid w:val="00CB1448"/>
    <w:rsid w:val="00CB69F6"/>
    <w:rsid w:val="00CC1B8E"/>
    <w:rsid w:val="00CC5E56"/>
    <w:rsid w:val="00D27FB8"/>
    <w:rsid w:val="00D41A49"/>
    <w:rsid w:val="00D44B4A"/>
    <w:rsid w:val="00D45D45"/>
    <w:rsid w:val="00D47CF7"/>
    <w:rsid w:val="00D7085E"/>
    <w:rsid w:val="00D73714"/>
    <w:rsid w:val="00D91039"/>
    <w:rsid w:val="00DA69DA"/>
    <w:rsid w:val="00DB65F4"/>
    <w:rsid w:val="00DB77A6"/>
    <w:rsid w:val="00E00A27"/>
    <w:rsid w:val="00E15B8C"/>
    <w:rsid w:val="00E17819"/>
    <w:rsid w:val="00E40543"/>
    <w:rsid w:val="00E45353"/>
    <w:rsid w:val="00E57DDB"/>
    <w:rsid w:val="00E82869"/>
    <w:rsid w:val="00E859A1"/>
    <w:rsid w:val="00E933C0"/>
    <w:rsid w:val="00EA4D15"/>
    <w:rsid w:val="00EC3DA3"/>
    <w:rsid w:val="00F1202C"/>
    <w:rsid w:val="00F20997"/>
    <w:rsid w:val="00F24A96"/>
    <w:rsid w:val="00F311D5"/>
    <w:rsid w:val="00FA03DD"/>
    <w:rsid w:val="00FA3B18"/>
    <w:rsid w:val="00FA6FF7"/>
    <w:rsid w:val="00FB51E4"/>
    <w:rsid w:val="00FE5B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8A9A50F"/>
  <w15:docId w15:val="{323BB1A0-4EB0-41EB-963D-C28E601670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F57FE"/>
    <w:rPr>
      <w:rFonts w:eastAsiaTheme="minorEastAsia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nhideWhenUsed/>
    <w:rsid w:val="007F57F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7F57FE"/>
    <w:rPr>
      <w:rFonts w:eastAsiaTheme="minorEastAsia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7F57F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7F57FE"/>
    <w:rPr>
      <w:rFonts w:eastAsiaTheme="minorEastAsia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7F57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F57FE"/>
    <w:rPr>
      <w:rFonts w:ascii="Tahoma" w:eastAsiaTheme="minorEastAsia" w:hAnsi="Tahoma" w:cs="Tahoma"/>
      <w:sz w:val="16"/>
      <w:szCs w:val="16"/>
      <w:lang w:eastAsia="pt-BR"/>
    </w:rPr>
  </w:style>
  <w:style w:type="paragraph" w:styleId="SemEspaamento">
    <w:name w:val="No Spacing"/>
    <w:uiPriority w:val="1"/>
    <w:qFormat/>
    <w:rsid w:val="00D45D45"/>
    <w:pPr>
      <w:spacing w:after="0" w:line="240" w:lineRule="auto"/>
    </w:pPr>
    <w:rPr>
      <w:rFonts w:eastAsiaTheme="minorEastAsia"/>
      <w:lang w:eastAsia="pt-BR"/>
    </w:rPr>
  </w:style>
  <w:style w:type="paragraph" w:customStyle="1" w:styleId="Default">
    <w:name w:val="Default"/>
    <w:rsid w:val="000A2D7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54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F9DD2C-DDF8-4E27-8AC5-5143C6C5DE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350</Words>
  <Characters>1895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Gabinete Fábio Netto da Silva</dc:creator>
  <cp:lastModifiedBy>Gabinete Fábio Netto da Silva</cp:lastModifiedBy>
  <cp:revision>9</cp:revision>
  <cp:lastPrinted>2019-06-18T20:01:00Z</cp:lastPrinted>
  <dcterms:created xsi:type="dcterms:W3CDTF">2019-05-17T16:35:00Z</dcterms:created>
  <dcterms:modified xsi:type="dcterms:W3CDTF">2019-06-18T20:01:00Z</dcterms:modified>
</cp:coreProperties>
</file>